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w:t>
      </w:r>
    </w:p>
    <w:p>
      <w:pPr>
        <w:pStyle w:val="6"/>
        <w:keepNext w:val="0"/>
        <w:keepLines w:val="0"/>
        <w:pageBreakBefore w:val="0"/>
        <w:kinsoku/>
        <w:overflowPunct/>
        <w:topLinePunct w:val="0"/>
        <w:autoSpaceDE/>
        <w:bidi w:val="0"/>
        <w:adjustRightInd/>
        <w:snapToGrid/>
        <w:spacing w:after="0" w:afterLines="0"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2026年三亚科技</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w:t>
      </w: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繁星</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w:t>
      </w: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专项科研项目</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申报指南</w:t>
      </w:r>
    </w:p>
    <w:p>
      <w:pPr>
        <w:keepNext w:val="0"/>
        <w:keepLines w:val="0"/>
        <w:pageBreakBefore w:val="0"/>
        <w:kinsoku/>
        <w:wordWrap/>
        <w:overflowPunct/>
        <w:topLinePunct w:val="0"/>
        <w:autoSpaceDE/>
        <w:bidi w:val="0"/>
        <w:adjustRightInd/>
        <w:snapToGrid/>
        <w:spacing w:line="560" w:lineRule="exact"/>
        <w:jc w:val="both"/>
        <w:textAlignment w:val="auto"/>
        <w:rPr>
          <w:rFonts w:hint="default" w:ascii="Times New Roman" w:hAnsi="Times New Roman" w:eastAsia="方正小标宋_GBK" w:cs="Times New Roman"/>
          <w:color w:val="000000" w:themeColor="text1"/>
          <w:sz w:val="44"/>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三亚市科技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“繁星”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专项聚焦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产业科技创新发展需求，</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我市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深海科技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、南繁种业、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高新技术等领域的关键核心技术，开展基础研究、应用技术研究、集成创新和引进消化吸收再创新，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培养科技人才，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促进科技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《三亚市科技项目与经费管理办法》等有关规定，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经公开征集意见，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结合我市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经济社会发展和科技发展规划部署</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实际，制定本指南。</w:t>
      </w:r>
    </w:p>
    <w:p>
      <w:pPr>
        <w:keepNext w:val="0"/>
        <w:keepLines w:val="0"/>
        <w:pageBreakBefore w:val="0"/>
        <w:widowControl/>
        <w:suppressLineNumbers w:val="0"/>
        <w:shd w:val="clear" w:fill="FFFFFF"/>
        <w:kinsoku/>
        <w:overflowPunct/>
        <w:topLinePunct w:val="0"/>
        <w:bidi w:val="0"/>
        <w:spacing w:before="0" w:beforeAutospacing="0" w:afterAutospacing="0" w:line="560" w:lineRule="exact"/>
        <w:ind w:right="0" w:firstLine="640" w:firstLineChars="200"/>
        <w:jc w:val="both"/>
        <w:rPr>
          <w:rFonts w:hint="default" w:ascii="宋体" w:hAnsi="宋体" w:eastAsia="宋体" w:cs="宋体"/>
          <w:i w:val="0"/>
          <w:caps w:val="0"/>
          <w:color w:val="000000" w:themeColor="text1"/>
          <w:spacing w:val="0"/>
          <w:sz w:val="21"/>
          <w:szCs w:val="21"/>
          <w:lang w:val="en-US"/>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一、项目类别</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三亚</w:t>
      </w:r>
      <w:r>
        <w:rPr>
          <w:rFonts w:hint="eastAsia" w:ascii="仿宋_GB2312" w:hAnsi="仿宋_GB2312" w:eastAsia="仿宋_GB2312" w:cs="仿宋_GB2312"/>
          <w:color w:val="000000" w:themeColor="text1"/>
          <w:sz w:val="32"/>
          <w:szCs w:val="32"/>
          <w:highlight w:val="none"/>
          <w14:textFill>
            <w14:solidFill>
              <w14:schemeClr w14:val="tx1"/>
            </w14:solidFill>
          </w14:textFill>
        </w:rPr>
        <w:t>市科技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繁星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专项科研</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项目分为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四类，分别是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基础研究项目、</w:t>
      </w:r>
      <w:r>
        <w:rPr>
          <w:rFonts w:hint="eastAsia" w:ascii="仿宋_GB2312" w:hAnsi="仿宋_GB2312" w:eastAsia="仿宋_GB2312" w:cs="仿宋_GB2312"/>
          <w:i w:val="0"/>
          <w:caps w:val="0"/>
          <w:color w:val="000000" w:themeColor="text1"/>
          <w:spacing w:val="0"/>
          <w:kern w:val="2"/>
          <w:sz w:val="32"/>
          <w:szCs w:val="32"/>
          <w:lang w:val="en-US" w:eastAsia="zh-CN" w:bidi="zh-CN"/>
          <w14:textFill>
            <w14:solidFill>
              <w14:schemeClr w14:val="tx1"/>
            </w14:solidFill>
          </w14:textFill>
        </w:rPr>
        <w:t>医疗卫生专项联合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项目、科技成果转化项目和青年科技人才项目。</w:t>
      </w:r>
    </w:p>
    <w:p>
      <w:pPr>
        <w:keepNext w:val="0"/>
        <w:keepLines w:val="0"/>
        <w:pageBreakBefore w:val="0"/>
        <w:kinsoku/>
        <w:wordWrap/>
        <w:overflowPunct/>
        <w:topLinePunct w:val="0"/>
        <w:autoSpaceDE/>
        <w:bidi w:val="0"/>
        <w:adjustRightInd/>
        <w:snapToGrid/>
        <w:spacing w:line="560" w:lineRule="exact"/>
        <w:ind w:firstLine="642" w:firstLineChars="200"/>
        <w:jc w:val="both"/>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（一）基础研究项目</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主要支持</w:t>
      </w:r>
      <w:r>
        <w:rPr>
          <w:rFonts w:hint="default" w:ascii="仿宋_GB2312" w:hAnsi="仿宋_GB2312" w:eastAsia="仿宋_GB2312" w:cs="仿宋_GB2312"/>
          <w:color w:val="000000" w:themeColor="text1"/>
          <w:sz w:val="32"/>
          <w:szCs w:val="32"/>
          <w:highlight w:val="none"/>
          <w14:textFill>
            <w14:solidFill>
              <w14:schemeClr w14:val="tx1"/>
            </w14:solidFill>
          </w14:textFill>
        </w:rPr>
        <w:t>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等院</w:t>
      </w:r>
      <w:r>
        <w:rPr>
          <w:rFonts w:hint="default" w:ascii="仿宋_GB2312" w:hAnsi="仿宋_GB2312" w:eastAsia="仿宋_GB2312" w:cs="仿宋_GB2312"/>
          <w:color w:val="000000" w:themeColor="text1"/>
          <w:sz w:val="32"/>
          <w:szCs w:val="32"/>
          <w:highlight w:val="none"/>
          <w14:textFill>
            <w14:solidFill>
              <w14:schemeClr w14:val="tx1"/>
            </w14:solidFill>
          </w14:textFill>
        </w:rPr>
        <w:t>校、科研院所、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新型研发机构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与科技企业</w:t>
      </w: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，围绕市委、市政府部署的重要科技工作，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聚焦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产业科技创新发展需求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开展基础研究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2" w:firstLineChars="200"/>
        <w:jc w:val="both"/>
        <w:textAlignment w:val="auto"/>
        <w:rPr>
          <w:rFonts w:hint="default" w:ascii="Nimbus Roman No9 L" w:hAnsi="Nimbus Roman No9 L" w:eastAsia="仿宋_GB2312" w:cs="Nimbus Roman No9 L"/>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（二）医疗卫生专项联合项目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lang w:val="en-US" w:eastAsia="zh-CN" w:bidi="zh-CN"/>
          <w14:textFill>
            <w14:solidFill>
              <w14:schemeClr w14:val="tx1"/>
            </w14:solidFill>
          </w14:textFill>
        </w:rPr>
        <w:t>结合本区域医疗卫生事业发展需求，支持医疗卫生科研机构围绕</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常见病、疑难病、重大疾病、传染病防控防治和特色专科疾病诊疗等方面开展新技术、新方法的研究，提升医疗卫生机构科研水平和诊疗水平。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2" w:firstLineChars="200"/>
        <w:jc w:val="left"/>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（三）科技成果转化项目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以市场需求前景为方向设立科研项目，支持</w:t>
      </w:r>
      <w:r>
        <w:rPr>
          <w:rFonts w:hint="default" w:ascii="仿宋_GB2312" w:hAnsi="仿宋_GB2312" w:eastAsia="仿宋_GB2312" w:cs="仿宋_GB2312"/>
          <w:color w:val="000000" w:themeColor="text1"/>
          <w:sz w:val="32"/>
          <w:szCs w:val="32"/>
          <w:highlight w:val="none"/>
          <w14:textFill>
            <w14:solidFill>
              <w14:schemeClr w14:val="tx1"/>
            </w14:solidFill>
          </w14:textFill>
        </w:rPr>
        <w:t>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等院</w:t>
      </w:r>
      <w:r>
        <w:rPr>
          <w:rFonts w:hint="default" w:ascii="仿宋_GB2312" w:hAnsi="仿宋_GB2312" w:eastAsia="仿宋_GB2312" w:cs="仿宋_GB2312"/>
          <w:color w:val="000000" w:themeColor="text1"/>
          <w:sz w:val="32"/>
          <w:szCs w:val="32"/>
          <w:highlight w:val="none"/>
          <w14:textFill>
            <w14:solidFill>
              <w14:schemeClr w14:val="tx1"/>
            </w14:solidFill>
          </w14:textFill>
        </w:rPr>
        <w:t>校、科研院所、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新型研发机构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与企业共同开展研发和成果转化，推动研发成果进行产业化示范，推广应用新技术、新工艺促进科技企业生产服务效能提升。鼓励科研院校深化职务科技成果改革，同等条件下优先支持职务科技成果改革的项目。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 xml:space="preserve">（四）青年科技人才项目 </w:t>
      </w: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项目旨在支持和培养青年科技人才（截至时间2026年12月31日年龄在40岁（含）以下），鼓励青年科技人才牵头担任科研项目负责人，聚焦我市科技创新的重点领域，开展创新研究、技术攻关、成果转化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14:textFill>
            <w14:solidFill>
              <w14:schemeClr w14:val="tx1"/>
            </w14:solidFill>
          </w14:textFill>
        </w:rPr>
        <w:t>、申报要求</w:t>
      </w:r>
    </w:p>
    <w:p>
      <w:pPr>
        <w:keepNext w:val="0"/>
        <w:keepLines w:val="0"/>
        <w:pageBreakBefore w:val="0"/>
        <w:widowControl w:val="0"/>
        <w:kinsoku/>
        <w:wordWrap/>
        <w:overflowPunct/>
        <w:topLinePunct w:val="0"/>
        <w:bidi w:val="0"/>
        <w:spacing w:line="560" w:lineRule="exact"/>
        <w:ind w:firstLine="642" w:firstLineChars="200"/>
        <w:textAlignment w:val="auto"/>
        <w:rPr>
          <w:rFonts w:hint="default"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default" w:ascii="楷体_GB2312" w:hAnsi="楷体_GB2312" w:eastAsia="楷体_GB2312" w:cs="楷体_GB2312"/>
          <w:b/>
          <w:bCs/>
          <w:color w:val="000000" w:themeColor="text1"/>
          <w:sz w:val="32"/>
          <w:szCs w:val="32"/>
          <w:highlight w:val="none"/>
          <w:lang w:eastAsia="zh-CN"/>
          <w14:textFill>
            <w14:solidFill>
              <w14:schemeClr w14:val="tx1"/>
            </w14:solidFill>
          </w14:textFill>
        </w:rPr>
        <w:t>（一）申报单位的基本条件与要求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包括牵头申报单位和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应具有独立法人资格</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主要</w:t>
      </w:r>
      <w:r>
        <w:rPr>
          <w:rFonts w:hint="default" w:ascii="Times-Roman" w:hAnsi="Times-Roman" w:eastAsia="仿宋_GB2312" w:cs="Times-Roman"/>
          <w:color w:val="000000" w:themeColor="text1"/>
          <w:sz w:val="32"/>
          <w:szCs w:val="32"/>
          <w:highlight w:val="none"/>
          <w14:textFill>
            <w14:solidFill>
              <w14:schemeClr w14:val="tx1"/>
            </w14:solidFill>
          </w14:textFill>
        </w:rPr>
        <w:t>研发活动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在本区域内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不受理个人申报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项目申报单位运行管理规范，具有与项目实施相匹配的基础条件，财务状况良好，有研发经费投入，具有完成项目所必备的人才条件和技术装备等匹配条件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鼓励企业牵头或产学研联合申报，联合申报单位不超过4家（含牵头单位）</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两家及两家以上单位联合申请的项目，应提交项目合作协议。合作协议应明确各方的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职责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、研究内容、成果提交的时限、经费分配方式、知识产权归属、法律责任等主要内容，并经各方法人单位盖章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pBdr>
          <w:top w:val="none" w:color="000000" w:sz="0" w:space="0"/>
          <w:left w:val="none" w:color="000000" w:sz="0" w:space="0"/>
          <w:bottom w:val="none" w:color="000000" w:sz="0" w:space="0"/>
          <w:right w:val="none" w:color="000000" w:sz="0" w:space="0"/>
        </w:pBdr>
        <w:shd w:val="clear" w:color="auto" w:fill="auto"/>
        <w:kinsoku/>
        <w:overflowPunct/>
        <w:topLinePunct w:val="0"/>
        <w:bidi w:val="0"/>
        <w:spacing w:before="0" w:line="560" w:lineRule="exact"/>
        <w:ind w:firstLine="640" w:firstLineChars="200"/>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申报</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（含合作单位）</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原则上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按不低于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财政资助金额的1∶1配套。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项目牵头单位统筹各单位资金配套比例，在保障项目顺</w:t>
      </w:r>
      <w:r>
        <w:rPr>
          <w:rFonts w:hint="eastAsia" w:ascii="仿宋_GB2312" w:hAnsi="仿宋_GB2312" w:eastAsia="仿宋_GB2312" w:cs="仿宋_GB2312"/>
          <w:color w:val="000000" w:themeColor="text1"/>
          <w:sz w:val="32"/>
          <w:szCs w:val="32"/>
          <w:lang w:eastAsia="zh-CN"/>
          <w14:textFill>
            <w14:solidFill>
              <w14:schemeClr w14:val="tx1"/>
            </w14:solidFill>
          </w14:textFill>
        </w:rPr>
        <w:t>利开展的情况下，由项目承担单位统筹安排项目配套资金用于项目支出。</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企业牵头或参与申报项目，现场核查时，需提供配套资金来源的佐证材料，否则不予立项。原则上企业的净资产总额或净利润等，需高于企业所有申报项目承诺配套资金的总和。</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对于项目承担单位的配套资金，不得使用货币资金之外的资产作为配套资金来源。非公益一类事业单位用于项目组成员的人力成本可计为配套资金。项目执行期内（含追溯期）项目承担单位横向科研项目经费，可作为研发专项的配套资金。鼓励项目承担单位先行投入项目研发，从立项之日起追溯期最长不超过6个月。</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项目承担单位应当全面落实科研财务助理制度，确保每个项目配有相对固定的科研财务助理，为科研人员在预算编制、经费报销等方面提供专业化服务。科研财务助理所需人力成本费用（含社会保险补助、住房公积金），可在项目直接经费中的</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劳务费</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中列支。</w:t>
      </w:r>
    </w:p>
    <w:p>
      <w:pPr>
        <w:pStyle w:val="2"/>
        <w:ind w:left="0" w:leftChars="0" w:firstLine="0" w:firstLineChars="0"/>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bidi="ar"/>
          <w14:textFill>
            <w14:solidFill>
              <w14:schemeClr w14:val="tx1"/>
            </w14:solidFill>
          </w14:textFill>
        </w:rPr>
        <w:t xml:space="preserve">    8.</w:t>
      </w:r>
      <w:r>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t>为探索改进科研项目经费分配管理措施，提高财政资金的</w:t>
      </w:r>
      <w:bookmarkStart w:id="3" w:name="_GoBack"/>
      <w:bookmarkEnd w:id="3"/>
      <w:r>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t>使用效益，本批次项目总预算中用于人力资源成本费支出占比原则上不得高于20%，各项目承担单位应据实编报项目预算并做好实际执行。</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eastAsia="仿宋_GB2312"/>
          <w:color w:val="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t>9</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预算经费应纳入单位财务统一管理，对市财政资金和项目承担单位其他来源资金分别单独核算，确保专款专用。</w:t>
      </w:r>
    </w:p>
    <w:p>
      <w:pPr>
        <w:keepNext w:val="0"/>
        <w:keepLines w:val="0"/>
        <w:pageBreakBefore w:val="0"/>
        <w:kinsoku/>
        <w:wordWrap/>
        <w:overflowPunct/>
        <w:topLinePunct w:val="0"/>
        <w:autoSpaceDE/>
        <w:bidi w:val="0"/>
        <w:adjustRightInd/>
        <w:snapToGrid/>
        <w:spacing w:line="560" w:lineRule="exact"/>
        <w:ind w:firstLine="642" w:firstLineChars="200"/>
        <w:jc w:val="both"/>
        <w:textAlignment w:val="auto"/>
        <w:rPr>
          <w:rFonts w:hint="default"/>
          <w:color w:val="000000" w:themeColor="text1"/>
          <w:lang w:val="en-US"/>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（二）项目负责人和项目组构成的基本条件与要求</w:t>
      </w:r>
    </w:p>
    <w:p>
      <w:pPr>
        <w:keepNext w:val="0"/>
        <w:keepLines w:val="0"/>
        <w:pageBreakBefore w:val="0"/>
        <w:numPr>
          <w:ilvl w:val="0"/>
          <w:numId w:val="0"/>
        </w:numPr>
        <w:kinsoku/>
        <w:wordWrap/>
        <w:overflowPunct/>
        <w:topLinePunct w:val="0"/>
        <w:autoSpaceDE/>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项目负责人为在职人员，在相关技术领域具有较高的学术水平，熟悉本领域国内外技术和市场动态及发展趋势，具有完成项目所需的组织管理和协调能力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项目组成员、承担单位和参与单位具有良好的信誉。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作为项目负责人，当年申报的市级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项目不能超过1项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，且作为参与人最多只能参与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2项项目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；已承担1项（含）以上市级科技项目的项目负责人，在项目未验收前不得申报本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批次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；同等条件下优先支持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的青年</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担任项目负责人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。符合条件的港澳台地区人才、外籍人才可按规定担任科技项目负责人。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4.项目组成员中属于项目申报单位的在职人员所占比例应达到80%以上。项目组成员不属于申报单位的应在项目申报附件中提供本人签字的知情同意书。</w:t>
      </w:r>
    </w:p>
    <w:p>
      <w:pPr>
        <w:pStyle w:val="13"/>
        <w:keepNext w:val="0"/>
        <w:keepLines w:val="0"/>
        <w:pageBreakBefore w:val="0"/>
        <w:widowControl w:val="0"/>
        <w:kinsoku/>
        <w:wordWrap/>
        <w:overflowPunct/>
        <w:topLinePunct w:val="0"/>
        <w:bidi w:val="0"/>
        <w:snapToGrid w:val="0"/>
        <w:spacing w:line="560" w:lineRule="exact"/>
        <w:ind w:firstLine="640"/>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（三）科研诚信要求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 1.申报单位应具有良好的社会信用和科研诚信记录，</w:t>
      </w:r>
      <w:r>
        <w:rPr>
          <w:rFonts w:hint="eastAsia" w:ascii="仿宋_GB2312" w:hAnsi="仿宋_GB2312" w:eastAsia="仿宋_GB2312" w:cs="仿宋_GB2312"/>
          <w:color w:val="000000" w:themeColor="text1"/>
          <w:sz w:val="32"/>
          <w:szCs w:val="32"/>
          <w:highlight w:val="none"/>
          <w14:textFill>
            <w14:solidFill>
              <w14:schemeClr w14:val="tx1"/>
            </w14:solidFill>
          </w14:textFill>
        </w:rPr>
        <w:t>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未发生</w:t>
      </w:r>
      <w:r>
        <w:rPr>
          <w:rFonts w:hint="eastAsia" w:ascii="仿宋_GB2312" w:hAnsi="仿宋_GB2312" w:eastAsia="仿宋_GB2312" w:cs="仿宋_GB2312"/>
          <w:color w:val="000000" w:themeColor="text1"/>
          <w:sz w:val="32"/>
          <w:szCs w:val="32"/>
          <w:highlight w:val="none"/>
          <w14:textFill>
            <w14:solidFill>
              <w14:schemeClr w14:val="tx1"/>
            </w14:solidFill>
          </w14:textFill>
        </w:rPr>
        <w:t>重大质量、环保或安全事故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项目负责人和项目组成员应具有良好的社会信用和科研诚信记录。</w:t>
      </w: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1"/>
        <w:textAlignment w:val="baseline"/>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pPr>
        <w:pStyle w:val="13"/>
        <w:keepNext w:val="0"/>
        <w:keepLines w:val="0"/>
        <w:pageBreakBefore w:val="0"/>
        <w:widowControl w:val="0"/>
        <w:kinsoku/>
        <w:wordWrap/>
        <w:overflowPunct/>
        <w:topLinePunct w:val="0"/>
        <w:bidi w:val="0"/>
        <w:spacing w:line="560" w:lineRule="exact"/>
        <w:ind w:firstLine="640"/>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（四）申报限制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有以下情况之一的不予支持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1.已获得国家、省、市科研项目支持且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项目研究内容重复率20%以上视为雷同项目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不予立项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keepNext w:val="0"/>
        <w:keepLines w:val="0"/>
        <w:pageBreakBefore w:val="0"/>
        <w:widowControl w:val="0"/>
        <w:kinsoku/>
        <w:wordWrap/>
        <w:overflowPunct/>
        <w:topLinePunct w:val="0"/>
        <w:autoSpaceDE/>
        <w:bidi w:val="0"/>
        <w:adjustRightInd/>
        <w:snapToGrid/>
        <w:spacing w:after="0" w:afterLines="0" w:line="560" w:lineRule="exact"/>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2.企业单位有历史遗留项目未完成整改的；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.有知识产权权属纠纷的项目；</w:t>
      </w:r>
    </w:p>
    <w:p>
      <w:pPr>
        <w:keepNext w:val="0"/>
        <w:keepLines w:val="0"/>
        <w:pageBreakBefore w:val="0"/>
        <w:pBdr>
          <w:top w:val="none" w:color="000000" w:sz="0" w:space="0"/>
          <w:left w:val="none" w:color="000000" w:sz="0" w:space="0"/>
          <w:bottom w:val="none" w:color="000000" w:sz="0" w:space="0"/>
          <w:right w:val="none" w:color="000000" w:sz="0" w:space="0"/>
        </w:pBdr>
        <w:shd w:val="solid" w:color="FFFFFF" w:fill="auto"/>
        <w:kinsoku/>
        <w:overflowPunct/>
        <w:topLinePunct w:val="0"/>
        <w:autoSpaceDE/>
        <w:autoSpaceDN w:val="0"/>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.影响社会协调发展、不符合国家节能降耗方向及环境保护政策的项目。</w:t>
      </w:r>
    </w:p>
    <w:p>
      <w:pPr>
        <w:pStyle w:val="15"/>
        <w:keepNext w:val="0"/>
        <w:keepLines w:val="0"/>
        <w:pageBreakBefore w:val="0"/>
        <w:kinsoku/>
        <w:overflowPunct/>
        <w:topLinePunct w:val="0"/>
        <w:bidi w:val="0"/>
        <w:spacing w:line="560" w:lineRule="exact"/>
        <w:ind w:left="0" w:leftChars="0" w:firstLine="0" w:firstLineChars="0"/>
        <w:rPr>
          <w:rFonts w:hint="default"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（五）其他要求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涉及生命与健康领域的项目须遵循生物安全及伦理相关法规。相关单位应建立资质合格的伦理审查委员会，对科研活动加强审查和监管；科研人员应自觉接受伦理审查和监管。涉及人的生物医学研究应执行《涉及人的生物医学研究伦理审查办法》等规定。以人个体或群体（包括医疗健康信息）为研究对象的临床研究，必须通过医学研究登记备案信息系统（</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instrText xml:space="preserve"> HYPERLINK "/home/user/文档\\x/http://www.medicalresearch.xn--org)-3e9gs74ao49a6p9a/" \t "/home/user/文档\\x/_blank" </w:instrTex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www.medicalresearch.org）完成登记</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并通过医院举行的科学性及伦理审查，获得学术委员会审批意见及伦理批件。涉及人类遗传资源的研究应执行《中华人民共和国人类遗传资源管理条例》等法规。涉及生物技术的研究应遵守《生物技术研究开发安全管理办法》等规章。涉及病原微生物的研究须遵守《病原微生物实验室生物安全管理条例》等法规。涉及实验动物和动物实验的，应遵守国家实验动物管理的法律、法规、技术标准及有关规定，使用合格实验动物，在合格设施内进行动物实验，保证实验过程合法，实验结果真实、有效。涉及动物福利的项目或课题需完成动物伦理审查并获得伦理批件。开展动物实验的单位需提供《实验动物使用许可证》。</w:t>
      </w:r>
    </w:p>
    <w:p>
      <w:pPr>
        <w:pStyle w:val="6"/>
        <w:keepNext w:val="0"/>
        <w:keepLines w:val="0"/>
        <w:pageBreakBefore w:val="0"/>
        <w:kinsoku/>
        <w:overflowPunct/>
        <w:topLinePunct w:val="0"/>
        <w:autoSpaceDE/>
        <w:bidi w:val="0"/>
        <w:adjustRightInd/>
        <w:snapToGrid/>
        <w:spacing w:after="0" w:afterLines="0" w:line="560" w:lineRule="exact"/>
        <w:ind w:firstLine="640" w:firstLineChars="200"/>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为促进脑机接口、人—非人动物嵌合体等领域的规范研究</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相关科研机构和科研人员</w:t>
      </w:r>
      <w:r>
        <w:rPr>
          <w:rFonts w:hint="eastAsia" w:eastAsia="仿宋_GB2312" w:cs="Times New Roman"/>
          <w:color w:val="000000" w:themeColor="text1"/>
          <w:sz w:val="32"/>
          <w:szCs w:val="32"/>
          <w:highlight w:val="none"/>
          <w:lang w:val="en-US" w:eastAsia="zh-CN"/>
          <w14:textFill>
            <w14:solidFill>
              <w14:schemeClr w14:val="tx1"/>
            </w14:solidFill>
          </w14:textFill>
        </w:rPr>
        <w:t>应遵循《脑机接口研究伦理指引》和《人—非人动物嵌合体研究伦理指引》。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涉及农业种业、安全生产等特种行业的，须拥有相关行业准入资格或许可。</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、现场核查</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拟立项项目进行现场核查时，企业单位（含合作单位）需提供以下材料：</w:t>
      </w:r>
    </w:p>
    <w:p>
      <w:pPr>
        <w:keepNext w:val="0"/>
        <w:keepLines w:val="0"/>
        <w:pageBreakBefore w:val="0"/>
        <w:numPr>
          <w:ilvl w:val="0"/>
          <w:numId w:val="1"/>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年度审计报告（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需披露研发费用情况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）、会计报表、完税证明材料等。</w:t>
      </w:r>
    </w:p>
    <w:p>
      <w:pPr>
        <w:keepNext w:val="0"/>
        <w:keepLines w:val="0"/>
        <w:pageBreakBefore w:val="0"/>
        <w:numPr>
          <w:ilvl w:val="0"/>
          <w:numId w:val="1"/>
        </w:numPr>
        <w:kinsoku/>
        <w:wordWrap/>
        <w:overflowPunct/>
        <w:topLinePunct w:val="0"/>
        <w:autoSpaceDE/>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项目组人员学历、职称证明等，如属临时聘请或合作的研发人员，需提供临时聘请或合作的材料。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（三）项目实施需要试验和示范基地的，需提供自有产权或租赁、合作的科研基地的证明材料，包括产权证、租赁合同、合作协议及土地的红线图等。</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四、</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资助额度及要求</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项目资助额度分为2档，第一档为20万元（含）以</w:t>
      </w:r>
    </w:p>
    <w:p>
      <w:pPr>
        <w:pStyle w:val="9"/>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下，第二档为20万元（不含）至40万元（含）。原则上第一档</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立项比例占所有立项项目的40%左右</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，第二档</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立项比例占所有立项项目的60%左右</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同一申报单位原则上</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牵头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申报项目总数不超过4个</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（含），鼓励申报单位内部遴选后择优申报，提高申报项目质量。</w:t>
      </w:r>
    </w:p>
    <w:p>
      <w:pPr>
        <w:pStyle w:val="9"/>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eastAsia="zh-CN" w:bidi="ar-SA"/>
          <w14:textFill>
            <w14:solidFill>
              <w14:schemeClr w14:val="tx1"/>
            </w14:solidFill>
          </w14:textFill>
        </w:rPr>
        <w:t>（三）</w:t>
      </w:r>
      <w:r>
        <w:rPr>
          <w:rFonts w:hint="default" w:ascii="Times New Roman" w:hAnsi="Times New Roman" w:eastAsia="仿宋_GB2312" w:cs="Times New Roman"/>
          <w:color w:val="000000" w:themeColor="text1"/>
          <w:kern w:val="2"/>
          <w:sz w:val="32"/>
          <w:szCs w:val="32"/>
          <w:highlight w:val="none"/>
          <w:lang w:bidi="ar-SA"/>
          <w14:textFill>
            <w14:solidFill>
              <w14:schemeClr w14:val="tx1"/>
            </w14:solidFill>
          </w14:textFill>
        </w:rPr>
        <w:t>各申报单位按照科研项目资金与研究任务相匹配的原则，据实编制预算经费。项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目立项时，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根据专项资金总额综合平衡安排支持经费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项目承担单位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不得压缩任务内容和考核指标。</w:t>
      </w:r>
    </w:p>
    <w:p>
      <w:pPr>
        <w:keepNext w:val="0"/>
        <w:keepLines w:val="0"/>
        <w:pageBreakBefore w:val="0"/>
        <w:widowControl w:val="0"/>
        <w:numPr>
          <w:ilvl w:val="0"/>
          <w:numId w:val="0"/>
        </w:numPr>
        <w:kinsoku/>
        <w:wordWrap/>
        <w:overflowPunct/>
        <w:topLinePunct w:val="0"/>
        <w:bidi w:val="0"/>
        <w:spacing w:line="560" w:lineRule="exact"/>
        <w:ind w:left="642" w:leftChars="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实施年限</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项目实施年限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（可选择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2年或3年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，从立项时间起算，项目单位要根据研究任务合理确定项目实施年限。</w:t>
      </w:r>
    </w:p>
    <w:p>
      <w:pPr>
        <w:keepNext w:val="0"/>
        <w:keepLines w:val="0"/>
        <w:pageBreakBefore w:val="0"/>
        <w:widowControl w:val="0"/>
        <w:numPr>
          <w:ilvl w:val="0"/>
          <w:numId w:val="0"/>
        </w:numPr>
        <w:kinsoku/>
        <w:wordWrap/>
        <w:overflowPunct/>
        <w:topLinePunct w:val="0"/>
        <w:bidi w:val="0"/>
        <w:spacing w:line="560" w:lineRule="exact"/>
        <w:ind w:left="642" w:leftChars="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资助方式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支持方式包括前资助和后补助：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对于高等院校、科研院所或其他事业单位牵头承担的项目，实行前资助方式。项目立项后，资金一次性拨付</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项目牵头单位。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对于企业单位牵头承担的项目，采取事前立项事后补助方式。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项目立项后，按照不超过财政资助总经费的50%，拨付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项目牵头单位。在项目验收通过后，再根据项目完成和资金使用情况给予相应补助。</w:t>
      </w:r>
    </w:p>
    <w:p>
      <w:pPr>
        <w:keepNext w:val="0"/>
        <w:keepLines w:val="0"/>
        <w:pageBreakBefore w:val="0"/>
        <w:shd w:val="clear" w:color="auto" w:fill="FFFFFF"/>
        <w:kinsoku/>
        <w:wordWrap/>
        <w:overflowPunct/>
        <w:topLinePunct w:val="0"/>
        <w:autoSpaceDE/>
        <w:bidi w:val="0"/>
        <w:adjustRightInd/>
        <w:snapToGrid/>
        <w:spacing w:line="560" w:lineRule="exact"/>
        <w:ind w:firstLine="640" w:firstLineChars="200"/>
        <w:jc w:val="left"/>
        <w:textAlignment w:val="auto"/>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项目牵头单位按照项目研究进度，根据项目负责人意见，及时将财政资金拨付至项目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单位不得再向外转拨资金。</w:t>
      </w:r>
      <w:r>
        <w:rPr>
          <w:rFonts w:hint="eastAsia"/>
          <w:color w:val="000000" w:themeColor="text1"/>
          <w:lang w:val="en-US" w:eastAsia="zh-CN"/>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支持领域</w:t>
      </w:r>
    </w:p>
    <w:p>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0" w:name="_Toc1892066601"/>
      <w:bookmarkStart w:id="1" w:name="_Toc10504"/>
      <w:bookmarkStart w:id="2" w:name="_Toc29696"/>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新一代信息技术领域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互联网与物联网技术、人工智能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与人机交互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、大数据技术、区块链技术、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信息安全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、认知计算技术、智慧城市技术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虚拟现实技术、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微电子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技术、脑机接口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）石油化工新材料、清洁能源领域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石油化工技术、精细化工技术、新材料技术、南海海洋油气资源、天然气水合物开发技术研究；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油页岩综合开发利用研究技术。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清洁能源利用技术、新能源汽车技术。</w:t>
      </w:r>
    </w:p>
    <w:p>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）深海、航天科技领域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深海关键技术与装备、深海油气资源勘探开发技术、海洋生物产业技术；</w:t>
      </w:r>
      <w:r>
        <w:rPr>
          <w:rFonts w:hint="eastAsia" w:eastAsia="仿宋_GB2312" w:cs="Times New Roman"/>
          <w:color w:val="000000" w:themeColor="text1"/>
          <w:sz w:val="32"/>
          <w:szCs w:val="32"/>
          <w:highlight w:val="none"/>
          <w:lang w:eastAsia="zh-CN"/>
          <w14:textFill>
            <w14:solidFill>
              <w14:schemeClr w14:val="tx1"/>
            </w14:solidFill>
          </w14:textFill>
        </w:rPr>
        <w:t>海洋传感技术、海洋资源开发与利用。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航天发射技术、卫星应用技术、临近空间浮空器技术、商业航天器研制、空间生物实验、智慧空管。</w:t>
      </w:r>
    </w:p>
    <w:p>
      <w:pPr>
        <w:keepNext w:val="0"/>
        <w:keepLines w:val="0"/>
        <w:pageBreakBefore w:val="0"/>
        <w:kinsoku/>
        <w:wordWrap/>
        <w:overflowPunct/>
        <w:topLinePunct w:val="0"/>
        <w:autoSpaceDE/>
        <w:bidi w:val="0"/>
        <w:adjustRightInd/>
        <w:snapToGrid/>
        <w:spacing w:line="560" w:lineRule="exact"/>
        <w:ind w:firstLine="64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）现代农业领域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种质资源鉴定与生物育种技术、种业安全性评价技术、种业加工存储物流技术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，种子、种苗生产技术示范与推广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；“三棵树”（槟榔、椰子、橡胶）和沉香、降香全产业链技术、热带水果、花卉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竹藤、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油茶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和香辛饮料作物提质增效技术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竹、藤制备技术和产业化装备研发</w:t>
      </w:r>
      <w:r>
        <w:rPr>
          <w:rFonts w:hint="default" w:eastAsia="仿宋_GB2312" w:cs="Times New Roman"/>
          <w:color w:val="000000" w:themeColor="text1"/>
          <w:kern w:val="2"/>
          <w:sz w:val="32"/>
          <w:szCs w:val="32"/>
          <w:highlight w:val="none"/>
          <w:lang w:val="en"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畜禽安全高效养殖与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生态高效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渔业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与水产养殖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技术、绿色农业技术、智慧农业技术；农业领域风险防控技术。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热带农业废弃物资源化（高值化）。</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eastAsia="仿宋_GB2312"/>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）环保科技领域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应对气候变化技术、生态系统生产总值核算技术、污染治理技术、海洋环境保护技术、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海洋碳汇和固碳相关研究、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生态系统保护、生物多样性保护及恢复修复技术、生态系统监测技术、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森林碳汇</w:t>
      </w:r>
      <w:r>
        <w:rPr>
          <w:rFonts w:hint="eastAsia"/>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天地一体化环境监测与预警技术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、珊瑚礁生态系统修复及示范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海洋污染监测治理与风险评估。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装配式建筑、绿色建筑和绿色建材技术、资源循环利用技术、环保装备技术、智慧环保技术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、全生物可降解地膜生产技术</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固废处置技术和装备研发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绿氢关键环节开展技术攻关；建筑遗产数字化保护。</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）其他领域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数学、</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化学、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运筹学、计算力学、文化学、生态学、园艺学等基础学研究；高端食品加工、精深加工技术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；食品轻工业全产业链关键核心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如糟粕醋产业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；食品安全技术研究，食品安全监管技术应用与示范研究；公共卫生风险防控技术、重大自然灾害防控技术、外来红树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植物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研究及防控、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林业有害生物灾害防控技术及防治推广、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社会治理与风险防控技术、绿色生态城市建设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开展改善农村人居环境相关技术研究及示范应用。</w:t>
      </w:r>
      <w:r>
        <w:rPr>
          <w:rFonts w:hint="eastAsia" w:eastAsia="仿宋_GB2312" w:cs="Times New Roman"/>
          <w:color w:val="000000" w:themeColor="text1"/>
          <w:sz w:val="32"/>
          <w:szCs w:val="32"/>
          <w:highlight w:val="none"/>
          <w:lang w:val="en-US" w:eastAsia="zh-CN"/>
          <w14:textFill>
            <w14:solidFill>
              <w14:schemeClr w14:val="tx1"/>
            </w14:solidFill>
          </w14:textFill>
        </w:rPr>
        <w:t>南海珍稀生物保育与生物资源利用与开发。</w:t>
      </w:r>
    </w:p>
    <w:p>
      <w:pPr>
        <w:keepNext w:val="0"/>
        <w:keepLines w:val="0"/>
        <w:pageBreakBefore w:val="0"/>
        <w:widowControl/>
        <w:kinsoku/>
        <w:wordWrap/>
        <w:overflowPunct/>
        <w:topLinePunct w:val="0"/>
        <w:autoSpaceDE/>
        <w:bidi w:val="0"/>
        <w:adjustRightInd/>
        <w:snapToGrid/>
        <w:spacing w:line="560" w:lineRule="exact"/>
        <w:jc w:val="left"/>
        <w:textAlignment w:val="auto"/>
        <w:rPr>
          <w:rFonts w:hint="eastAsia"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公立医院改革暨</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生命健康领域</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1.</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热带地区常见病预防与诊疗技术研究，热带</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感</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染病分子流行病学研究，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重大慢性病防控与诊疗技术研究，创伤医学；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现代医疗器械研发、老龄化科技应对综合技术、康复技术、气候康养技术、智慧医疗技术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、口腔医学技术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药物设计及新药研发、现代生物治疗技术、重大生物制品研制、海南特色中医药技术</w:t>
      </w:r>
      <w:r>
        <w:rPr>
          <w:rFonts w:hint="default" w:ascii="Times New Roman" w:hAnsi="Times New Roman" w:eastAsia="仿宋_GB2312" w:cs="Times New Roman"/>
          <w:color w:val="000000" w:themeColor="text1"/>
          <w:sz w:val="32"/>
          <w:szCs w:val="32"/>
          <w14:textFill>
            <w14:solidFill>
              <w14:schemeClr w14:val="tx1"/>
            </w14:solidFill>
          </w14:textFill>
        </w:rPr>
        <w:t>、南药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黎药产业技术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、疾病防治技术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芳香植物资源开发技术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海洋生物产业技术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妇女儿童疾病防治和综合管理技术，开展有关妇女儿童身心健康等方面的科学技术研究及其成果推广应用；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支持三亚市公立医院改革与高质量发展示范应用。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000000" w:themeColor="text1"/>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神经科学</w:t>
      </w:r>
      <w:r>
        <w:rPr>
          <w:rFonts w:hint="eastAsia" w:eastAsia="仿宋_GB2312" w:cs="Times New Roman"/>
          <w:color w:val="000000" w:themeColor="text1"/>
          <w:sz w:val="32"/>
          <w:szCs w:val="32"/>
          <w:highlight w:val="none"/>
          <w:lang w:val="en-US" w:eastAsia="zh-CN"/>
          <w14:textFill>
            <w14:solidFill>
              <w14:schemeClr w14:val="tx1"/>
            </w14:solidFill>
          </w14:textFill>
        </w:rPr>
        <w:t>、神经康复学、神经外科学、心理行为及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精神</w:t>
      </w:r>
      <w:r>
        <w:rPr>
          <w:rFonts w:hint="eastAsia" w:eastAsia="仿宋_GB2312" w:cs="Times New Roman"/>
          <w:color w:val="000000" w:themeColor="text1"/>
          <w:sz w:val="32"/>
          <w:szCs w:val="32"/>
          <w:highlight w:val="none"/>
          <w:lang w:val="en-US" w:eastAsia="zh-CN"/>
          <w14:textFill>
            <w14:solidFill>
              <w14:schemeClr w14:val="tx1"/>
            </w14:solidFill>
          </w14:textFill>
        </w:rPr>
        <w:t>医学</w:t>
      </w:r>
    </w:p>
    <w:p>
      <w:pPr>
        <w:pStyle w:val="6"/>
        <w:keepNext w:val="0"/>
        <w:keepLines w:val="0"/>
        <w:pageBreakBefore w:val="0"/>
        <w:kinsoku/>
        <w:wordWrap/>
        <w:overflowPunct/>
        <w:topLinePunct w:val="0"/>
        <w:autoSpaceDE/>
        <w:autoSpaceDN/>
        <w:bidi w:val="0"/>
        <w:adjustRightInd/>
        <w:spacing w:after="0" w:afterLines="0" w:line="560" w:lineRule="exact"/>
        <w:ind w:firstLine="640"/>
        <w:textAlignment w:val="auto"/>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儿童感染相关重症早期预警与分层管理关键技术</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，地中海贫血免疫异常与慢性炎症风险评估关键技术。</w:t>
      </w:r>
    </w:p>
    <w:p>
      <w:pPr>
        <w:pStyle w:val="6"/>
        <w:keepNext w:val="0"/>
        <w:keepLines w:val="0"/>
        <w:pageBreakBefore w:val="0"/>
        <w:kinsoku/>
        <w:wordWrap/>
        <w:overflowPunct/>
        <w:topLinePunct w:val="0"/>
        <w:autoSpaceDE/>
        <w:autoSpaceDN/>
        <w:bidi w:val="0"/>
        <w:adjustRightInd/>
        <w:spacing w:after="0" w:afterLines="0" w:line="560" w:lineRule="exact"/>
        <w:ind w:firstLine="64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eastAsia="黑体"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highlight w:val="none"/>
          <w14:textFill>
            <w14:solidFill>
              <w14:schemeClr w14:val="tx1"/>
            </w14:solidFill>
          </w14:textFill>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（一）科技成果转化类项目：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知识产权归属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w:t>
      </w:r>
      <w:r>
        <w:rPr>
          <w:rFonts w:hint="eastAsia" w:ascii="仿宋_GB2312" w:hAnsi="仿宋_GB2312" w:eastAsia="仿宋_GB2312" w:cs="仿宋_GB2312"/>
          <w:color w:val="000000" w:themeColor="text1"/>
          <w:sz w:val="32"/>
          <w:szCs w:val="32"/>
          <w:highlight w:val="none"/>
          <w14:textFill>
            <w14:solidFill>
              <w14:schemeClr w14:val="tx1"/>
            </w14:solidFill>
          </w14:textFill>
        </w:rPr>
        <w:t>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对产业发展具有推动作用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知识产权不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w:t>
      </w:r>
      <w:r>
        <w:rPr>
          <w:rFonts w:hint="eastAsia" w:ascii="仿宋_GB2312" w:hAnsi="仿宋_GB2312" w:eastAsia="仿宋_GB2312" w:cs="仿宋_GB2312"/>
          <w:color w:val="000000" w:themeColor="text1"/>
          <w:sz w:val="32"/>
          <w:szCs w:val="32"/>
          <w:highlight w:val="none"/>
          <w14:textFill>
            <w14:solidFill>
              <w14:schemeClr w14:val="tx1"/>
            </w14:solidFill>
          </w14:textFill>
        </w:rPr>
        <w:t>晰或有权属纠纷的项目、单纯技术引进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量产能力放大</w:t>
      </w:r>
      <w:r>
        <w:rPr>
          <w:rFonts w:hint="eastAsia" w:ascii="仿宋_GB2312" w:hAnsi="仿宋_GB2312" w:eastAsia="仿宋_GB2312" w:cs="仿宋_GB2312"/>
          <w:color w:val="000000" w:themeColor="text1"/>
          <w:sz w:val="32"/>
          <w:szCs w:val="32"/>
          <w:highlight w:val="none"/>
          <w14:textFill>
            <w14:solidFill>
              <w14:schemeClr w14:val="tx1"/>
            </w14:solidFill>
          </w14:textFill>
        </w:rPr>
        <w:t>的项目、已成熟的商品化生产项目不在本次申报范围之内。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w:t>
      </w:r>
      <w:bookmarkEnd w:id="0"/>
      <w:bookmarkEnd w:id="1"/>
      <w:bookmarkEnd w:id="2"/>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项目实施与经费管理严格按照《关于改革完善省级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财政科研经费管理的若干措施</w:t>
      </w:r>
      <w:r>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t>》（琼府办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〔2022〕20号</w:t>
      </w:r>
      <w:r>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《海南省重点研发专项和经费管理暂行办法》（琼科规〔2025〕6号）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三亚市科技项目与经费管理办法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三科工信规〔20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等文件，</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以及国家、海南</w:t>
      </w:r>
      <w:r>
        <w:rPr>
          <w:rFonts w:hint="default" w:ascii="Times New Roman" w:hAnsi="Times New Roman" w:eastAsia="仿宋_GB2312" w:cs="Times New Roman"/>
          <w:color w:val="000000" w:themeColor="text1"/>
          <w:spacing w:val="-2"/>
          <w:sz w:val="32"/>
          <w:szCs w:val="32"/>
          <w:highlight w:val="none"/>
          <w:lang w:val="en"/>
          <w14:textFill>
            <w14:solidFill>
              <w14:schemeClr w14:val="tx1"/>
            </w14:solidFill>
          </w14:textFill>
        </w:rPr>
        <w:t>省和三亚市有关财经法规和财务管理制度</w:t>
      </w:r>
      <w:r>
        <w:rPr>
          <w:rFonts w:hint="default" w:ascii="Times New Roman" w:hAnsi="Times New Roman" w:eastAsia="仿宋_GB2312" w:cs="Times New Roman"/>
          <w:color w:val="000000" w:themeColor="text1"/>
          <w:spacing w:val="-2"/>
          <w:sz w:val="32"/>
          <w:szCs w:val="32"/>
          <w:highlight w:val="none"/>
          <w:lang w:val="en" w:eastAsia="zh-CN"/>
          <w14:textFill>
            <w14:solidFill>
              <w14:schemeClr w14:val="tx1"/>
            </w14:solidFill>
          </w14:textFill>
        </w:rPr>
        <w:t>执行。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Times-Roman">
    <w:altName w:val="Nimbus Roman No9 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A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A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8DF40"/>
    <w:multiLevelType w:val="singleLevel"/>
    <w:tmpl w:val="77D8DF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43EAB"/>
    <w:rsid w:val="00DA1E03"/>
    <w:rsid w:val="02C674E5"/>
    <w:rsid w:val="05C9666C"/>
    <w:rsid w:val="05F43EAB"/>
    <w:rsid w:val="06A4420C"/>
    <w:rsid w:val="06F67BD6"/>
    <w:rsid w:val="08AD679F"/>
    <w:rsid w:val="0A505DEC"/>
    <w:rsid w:val="0B4952FE"/>
    <w:rsid w:val="0B5B2AE8"/>
    <w:rsid w:val="0CC31A26"/>
    <w:rsid w:val="0DD76AB5"/>
    <w:rsid w:val="0E1E4570"/>
    <w:rsid w:val="0F3D60B4"/>
    <w:rsid w:val="13F97E6F"/>
    <w:rsid w:val="14481EB3"/>
    <w:rsid w:val="17F744B2"/>
    <w:rsid w:val="1B174119"/>
    <w:rsid w:val="1C623C5A"/>
    <w:rsid w:val="1C7B35A2"/>
    <w:rsid w:val="1DBD0FDA"/>
    <w:rsid w:val="1E9D9E15"/>
    <w:rsid w:val="1F78505D"/>
    <w:rsid w:val="20800337"/>
    <w:rsid w:val="267532B7"/>
    <w:rsid w:val="2C2368F8"/>
    <w:rsid w:val="2C884E40"/>
    <w:rsid w:val="2EB349D8"/>
    <w:rsid w:val="2F382895"/>
    <w:rsid w:val="2FFE7595"/>
    <w:rsid w:val="30F12CC4"/>
    <w:rsid w:val="31B3794B"/>
    <w:rsid w:val="33044AF8"/>
    <w:rsid w:val="33BD0D43"/>
    <w:rsid w:val="3403469B"/>
    <w:rsid w:val="35775D71"/>
    <w:rsid w:val="3664713E"/>
    <w:rsid w:val="36676593"/>
    <w:rsid w:val="36D46DF1"/>
    <w:rsid w:val="36FC3ECB"/>
    <w:rsid w:val="37BD5FC2"/>
    <w:rsid w:val="37DF169E"/>
    <w:rsid w:val="37FDD26B"/>
    <w:rsid w:val="383249F0"/>
    <w:rsid w:val="38465899"/>
    <w:rsid w:val="38F1141C"/>
    <w:rsid w:val="39FFEF42"/>
    <w:rsid w:val="3C676A24"/>
    <w:rsid w:val="3C8047AD"/>
    <w:rsid w:val="3D1BC0F7"/>
    <w:rsid w:val="3D777EA4"/>
    <w:rsid w:val="3E297951"/>
    <w:rsid w:val="3E3C7756"/>
    <w:rsid w:val="3E541FA5"/>
    <w:rsid w:val="42516609"/>
    <w:rsid w:val="44AA6B16"/>
    <w:rsid w:val="46470276"/>
    <w:rsid w:val="49165F14"/>
    <w:rsid w:val="49C93036"/>
    <w:rsid w:val="49FD08A9"/>
    <w:rsid w:val="4A2671E0"/>
    <w:rsid w:val="4EC72EE5"/>
    <w:rsid w:val="4EE806BC"/>
    <w:rsid w:val="4EEF1ACC"/>
    <w:rsid w:val="4F872783"/>
    <w:rsid w:val="514F5BD6"/>
    <w:rsid w:val="57476D61"/>
    <w:rsid w:val="5A031667"/>
    <w:rsid w:val="5AB62445"/>
    <w:rsid w:val="5B850370"/>
    <w:rsid w:val="5BD28DC7"/>
    <w:rsid w:val="5EC9167F"/>
    <w:rsid w:val="5F5F50FE"/>
    <w:rsid w:val="5F7D6797"/>
    <w:rsid w:val="5FB057EC"/>
    <w:rsid w:val="60D5ABDF"/>
    <w:rsid w:val="6168B899"/>
    <w:rsid w:val="63395146"/>
    <w:rsid w:val="64853341"/>
    <w:rsid w:val="64FDCD25"/>
    <w:rsid w:val="66FFB3CC"/>
    <w:rsid w:val="699E6EC1"/>
    <w:rsid w:val="69EF667F"/>
    <w:rsid w:val="69FF46E1"/>
    <w:rsid w:val="6A945728"/>
    <w:rsid w:val="6AE645C8"/>
    <w:rsid w:val="6B6E554D"/>
    <w:rsid w:val="6B8AD670"/>
    <w:rsid w:val="6BFBA61B"/>
    <w:rsid w:val="6C2E7A83"/>
    <w:rsid w:val="6C4D0FB5"/>
    <w:rsid w:val="6D0206B5"/>
    <w:rsid w:val="6DE66D0B"/>
    <w:rsid w:val="6E467539"/>
    <w:rsid w:val="6E6ED76C"/>
    <w:rsid w:val="6E740725"/>
    <w:rsid w:val="6FA52F61"/>
    <w:rsid w:val="6FD6F14C"/>
    <w:rsid w:val="6FFF140E"/>
    <w:rsid w:val="706E3D4F"/>
    <w:rsid w:val="71A13116"/>
    <w:rsid w:val="73323E71"/>
    <w:rsid w:val="73FF38A6"/>
    <w:rsid w:val="768575CD"/>
    <w:rsid w:val="776F6F6A"/>
    <w:rsid w:val="79BE18C4"/>
    <w:rsid w:val="79CF8CEB"/>
    <w:rsid w:val="79EF6E8A"/>
    <w:rsid w:val="7A9B6A72"/>
    <w:rsid w:val="7AED9C96"/>
    <w:rsid w:val="7BDB9CD0"/>
    <w:rsid w:val="7C75220A"/>
    <w:rsid w:val="7CE50630"/>
    <w:rsid w:val="7D477B92"/>
    <w:rsid w:val="7D77800F"/>
    <w:rsid w:val="7D7F6816"/>
    <w:rsid w:val="7E17126D"/>
    <w:rsid w:val="7EDB8669"/>
    <w:rsid w:val="7EDFCE42"/>
    <w:rsid w:val="7EFEDC23"/>
    <w:rsid w:val="7F512BC2"/>
    <w:rsid w:val="7F7FDB47"/>
    <w:rsid w:val="7FAD8039"/>
    <w:rsid w:val="7FB3E5C0"/>
    <w:rsid w:val="7FB5DD92"/>
    <w:rsid w:val="7FD75198"/>
    <w:rsid w:val="7FEF3BAD"/>
    <w:rsid w:val="7FFDEDF6"/>
    <w:rsid w:val="7FFF8E7F"/>
    <w:rsid w:val="97754C66"/>
    <w:rsid w:val="97C98F1B"/>
    <w:rsid w:val="9DD73997"/>
    <w:rsid w:val="9FDE6D94"/>
    <w:rsid w:val="A3C7DF57"/>
    <w:rsid w:val="B7FFB326"/>
    <w:rsid w:val="BF5F1C0C"/>
    <w:rsid w:val="BFF72FF0"/>
    <w:rsid w:val="BFF76708"/>
    <w:rsid w:val="C6FDA661"/>
    <w:rsid w:val="C77E271C"/>
    <w:rsid w:val="CFAF8B05"/>
    <w:rsid w:val="D1FB1B89"/>
    <w:rsid w:val="D3EBCA40"/>
    <w:rsid w:val="D6FF36D4"/>
    <w:rsid w:val="D79ACDA5"/>
    <w:rsid w:val="D82FAD64"/>
    <w:rsid w:val="DB7D036B"/>
    <w:rsid w:val="DCB74DCA"/>
    <w:rsid w:val="DDF15729"/>
    <w:rsid w:val="DE9B715E"/>
    <w:rsid w:val="DF7BEF3B"/>
    <w:rsid w:val="DFBC086A"/>
    <w:rsid w:val="DFDF1FF3"/>
    <w:rsid w:val="E27D3C8B"/>
    <w:rsid w:val="E7D64614"/>
    <w:rsid w:val="EEEF10A1"/>
    <w:rsid w:val="EEFD195A"/>
    <w:rsid w:val="EEFF631B"/>
    <w:rsid w:val="EEFFD92F"/>
    <w:rsid w:val="EF7BE0A9"/>
    <w:rsid w:val="EFD3197B"/>
    <w:rsid w:val="F3D7E2F6"/>
    <w:rsid w:val="F469E485"/>
    <w:rsid w:val="F4FC41E9"/>
    <w:rsid w:val="F6BD3257"/>
    <w:rsid w:val="F7BF254E"/>
    <w:rsid w:val="F7EEC9EF"/>
    <w:rsid w:val="F7F7D381"/>
    <w:rsid w:val="FA6BCA9C"/>
    <w:rsid w:val="FBE9E409"/>
    <w:rsid w:val="FBFBD106"/>
    <w:rsid w:val="FBFFBEB1"/>
    <w:rsid w:val="FCFEFB88"/>
    <w:rsid w:val="FD7E8046"/>
    <w:rsid w:val="FE7898AF"/>
    <w:rsid w:val="FEFDA3E6"/>
    <w:rsid w:val="FF5C57CB"/>
    <w:rsid w:val="FF5D2AF3"/>
    <w:rsid w:val="FF652AE6"/>
    <w:rsid w:val="FF9532B7"/>
    <w:rsid w:val="FFCFE836"/>
    <w:rsid w:val="FFE7596F"/>
    <w:rsid w:val="FFEFCF18"/>
    <w:rsid w:val="FFFA0C6C"/>
    <w:rsid w:val="FFFE7CEC"/>
    <w:rsid w:val="FFFF0172"/>
    <w:rsid w:val="FFFFA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4">
    <w:name w:val="annotation text"/>
    <w:basedOn w:val="1"/>
    <w:qFormat/>
    <w:uiPriority w:val="0"/>
    <w:pPr>
      <w:jc w:val="left"/>
    </w:pPr>
  </w:style>
  <w:style w:type="paragraph" w:styleId="5">
    <w:name w:val="index 6"/>
    <w:basedOn w:val="1"/>
    <w:next w:val="1"/>
    <w:unhideWhenUsed/>
    <w:qFormat/>
    <w:uiPriority w:val="99"/>
    <w:pPr>
      <w:ind w:left="2100"/>
    </w:pPr>
  </w:style>
  <w:style w:type="paragraph" w:styleId="6">
    <w:name w:val="Body Text"/>
    <w:basedOn w:val="1"/>
    <w:unhideWhenUsed/>
    <w:qFormat/>
    <w:uiPriority w:val="99"/>
    <w:pPr>
      <w:spacing w:after="0" w:afterLines="0" w:afterAutospacing="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Title"/>
    <w:next w:val="1"/>
    <w:qFormat/>
    <w:uiPriority w:val="99"/>
    <w:pPr>
      <w:widowControl w:val="0"/>
      <w:spacing w:before="240" w:after="60"/>
      <w:jc w:val="center"/>
      <w:outlineLvl w:val="0"/>
    </w:pPr>
    <w:rPr>
      <w:rFonts w:ascii="Cambria" w:hAnsi="Cambria" w:eastAsia="宋体" w:cs="宋体"/>
      <w:b/>
      <w:bCs/>
      <w:kern w:val="2"/>
      <w:sz w:val="32"/>
      <w:szCs w:val="32"/>
      <w:lang w:val="en-US" w:eastAsia="zh-CN" w:bidi="ar-SA"/>
    </w:rPr>
  </w:style>
  <w:style w:type="paragraph" w:customStyle="1" w:styleId="13">
    <w:name w:val="Default"/>
    <w:basedOn w:val="14"/>
    <w:next w:val="1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纯文本1"/>
    <w:basedOn w:val="1"/>
    <w:qFormat/>
    <w:uiPriority w:val="0"/>
    <w:pPr>
      <w:textAlignment w:val="baseline"/>
    </w:pPr>
    <w:rPr>
      <w:rFonts w:ascii="宋体" w:hAnsi="Courier New"/>
    </w:rPr>
  </w:style>
  <w:style w:type="paragraph" w:customStyle="1" w:styleId="15">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1</Lines>
  <Paragraphs>1</Paragraphs>
  <TotalTime>17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2025-11-27T04:38:00Z</dcterms:created>
  <dc:creator>Administrator</dc:creator>
  <cp:lastModifiedBy>user</cp:lastModifiedBy>
  <dcterms:modified xsi:type="dcterms:W3CDTF">2026-06-02T09:56:05Z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