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2F90E0">
      <w:pPr>
        <w:pStyle w:val="2"/>
        <w:rPr>
          <w:sz w:val="52"/>
          <w:szCs w:val="52"/>
        </w:rPr>
      </w:pPr>
    </w:p>
    <w:p w14:paraId="3DD5E061">
      <w:pPr>
        <w:pStyle w:val="2"/>
        <w:rPr>
          <w:sz w:val="52"/>
          <w:szCs w:val="52"/>
        </w:rPr>
      </w:pPr>
    </w:p>
    <w:p w14:paraId="510DBE82">
      <w:pPr>
        <w:pStyle w:val="2"/>
        <w:jc w:val="center"/>
        <w:rPr>
          <w:sz w:val="52"/>
          <w:szCs w:val="52"/>
        </w:rPr>
      </w:pPr>
    </w:p>
    <w:p w14:paraId="0420460D">
      <w:pPr>
        <w:pStyle w:val="2"/>
        <w:jc w:val="center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三亚科教创新园</w:t>
      </w:r>
    </w:p>
    <w:p w14:paraId="17524FD4">
      <w:pPr>
        <w:pStyle w:val="2"/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无纸化</w:t>
      </w:r>
      <w:r>
        <w:rPr>
          <w:rFonts w:hint="eastAsia"/>
          <w:sz w:val="52"/>
          <w:szCs w:val="52"/>
          <w:lang w:val="en-US" w:eastAsia="zh-CN"/>
        </w:rPr>
        <w:t>差旅</w:t>
      </w:r>
      <w:r>
        <w:rPr>
          <w:rFonts w:hint="eastAsia"/>
          <w:sz w:val="52"/>
          <w:szCs w:val="52"/>
        </w:rPr>
        <w:t>报销</w:t>
      </w:r>
      <w:r>
        <w:rPr>
          <w:rFonts w:hint="eastAsia"/>
          <w:sz w:val="52"/>
          <w:szCs w:val="52"/>
          <w:lang w:val="en-US" w:eastAsia="zh-CN"/>
        </w:rPr>
        <w:t>平台</w:t>
      </w:r>
      <w:r>
        <w:rPr>
          <w:rFonts w:hint="eastAsia"/>
          <w:sz w:val="52"/>
          <w:szCs w:val="52"/>
        </w:rPr>
        <w:t xml:space="preserve"> </w:t>
      </w:r>
    </w:p>
    <w:p w14:paraId="4BCD403F">
      <w:r>
        <w:rPr>
          <w:rFonts w:hint="eastAsia" w:ascii="宋体" w:hAnsi="宋体" w:eastAsia="宋体" w:cs="宋体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2582545</wp:posOffset>
                </wp:positionH>
                <wp:positionV relativeFrom="paragraph">
                  <wp:posOffset>172085</wp:posOffset>
                </wp:positionV>
                <wp:extent cx="596900" cy="2132330"/>
                <wp:effectExtent l="0" t="0" r="12700" b="127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22020" y="3400425"/>
                          <a:ext cx="596900" cy="2132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37509">
                            <w:pPr>
                              <w:spacing w:line="480" w:lineRule="auto"/>
                              <w:rPr>
                                <w:rFonts w:ascii="宋体" w:hAnsi="宋体" w:eastAsia="宋体" w:cs="宋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操 作 说 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3.35pt;margin-top:13.55pt;height:167.9pt;width:47pt;z-index:251659264;mso-width-relative:page;mso-height-relative:page;" fillcolor="#FFFFFF [3201]" filled="t" stroked="f" coordsize="21600,21600" o:gfxdata="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O930h2QAAAAoBAAAPAAAAAAAAAAEAIAAAACIAAABkcnMvZG93bnJldi54bWxQSwECFAAUAAAA&#10;CACHTuJA/8Mrg18CAACcBAAADgAAAAAAAAABACAAAAAoAQAAZHJzL2Uyb0RvYy54bWxQSwUGAAAA&#10;AAYABgBZAQAA+QUAAAAA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 w14:paraId="49737509">
                      <w:pPr>
                        <w:spacing w:line="480" w:lineRule="auto"/>
                        <w:rPr>
                          <w:rFonts w:ascii="宋体" w:hAnsi="宋体" w:eastAsia="宋体" w:cs="宋体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sz w:val="36"/>
                          <w:szCs w:val="36"/>
                        </w:rPr>
                        <w:t xml:space="preserve"> 操 作 说 明</w:t>
                      </w:r>
                    </w:p>
                  </w:txbxContent>
                </v:textbox>
              </v:shape>
            </w:pict>
          </mc:Fallback>
        </mc:AlternateContent>
      </w:r>
    </w:p>
    <w:p w14:paraId="1C268EA0"/>
    <w:p w14:paraId="0E3A4C85"/>
    <w:p w14:paraId="6D964D3A"/>
    <w:p w14:paraId="3A1D8BC7"/>
    <w:p w14:paraId="1A8825BD"/>
    <w:p w14:paraId="741C9255"/>
    <w:p w14:paraId="0726BC72"/>
    <w:p w14:paraId="741814BD"/>
    <w:p w14:paraId="5AE080C2"/>
    <w:p w14:paraId="71B8741B"/>
    <w:p w14:paraId="4C4B23A6"/>
    <w:p w14:paraId="79A36A3F"/>
    <w:p w14:paraId="0D2FF604"/>
    <w:p w14:paraId="03FDA623">
      <w:pPr>
        <w:jc w:val="center"/>
        <w:rPr>
          <w:rFonts w:ascii="宋体" w:hAnsi="宋体" w:eastAsia="宋体" w:cs="宋体"/>
        </w:rPr>
      </w:pPr>
    </w:p>
    <w:p w14:paraId="34DB4669">
      <w:pPr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版本V1.0</w:t>
      </w:r>
    </w:p>
    <w:p w14:paraId="5B28FEBD">
      <w:pPr>
        <w:jc w:val="center"/>
        <w:rPr>
          <w:rFonts w:ascii="宋体" w:hAnsi="宋体" w:eastAsia="宋体" w:cs="宋体"/>
        </w:rPr>
      </w:pPr>
    </w:p>
    <w:p w14:paraId="4EC17545">
      <w:pPr>
        <w:jc w:val="center"/>
        <w:rPr>
          <w:rFonts w:ascii="宋体" w:hAnsi="宋体" w:eastAsia="宋体" w:cs="宋体"/>
        </w:rPr>
      </w:pPr>
    </w:p>
    <w:p w14:paraId="6EBCC562">
      <w:pPr>
        <w:jc w:val="center"/>
        <w:rPr>
          <w:rFonts w:ascii="宋体" w:hAnsi="宋体" w:eastAsia="宋体" w:cs="宋体"/>
        </w:rPr>
      </w:pPr>
    </w:p>
    <w:p w14:paraId="5AED4154">
      <w:pPr>
        <w:jc w:val="center"/>
        <w:rPr>
          <w:rFonts w:ascii="宋体" w:hAnsi="宋体" w:eastAsia="宋体" w:cs="宋体"/>
        </w:rPr>
      </w:pPr>
    </w:p>
    <w:p w14:paraId="5AF00FC0">
      <w:pPr>
        <w:jc w:val="center"/>
        <w:rPr>
          <w:rFonts w:ascii="宋体" w:hAnsi="宋体" w:eastAsia="宋体" w:cs="宋体"/>
        </w:rPr>
      </w:pPr>
    </w:p>
    <w:p w14:paraId="46992998">
      <w:pPr>
        <w:jc w:val="center"/>
        <w:rPr>
          <w:rFonts w:ascii="宋体" w:hAnsi="宋体" w:eastAsia="宋体" w:cs="宋体"/>
        </w:rPr>
      </w:pPr>
    </w:p>
    <w:p w14:paraId="7CDD74D2">
      <w:pPr>
        <w:jc w:val="center"/>
        <w:rPr>
          <w:rFonts w:ascii="宋体" w:hAnsi="宋体" w:eastAsia="宋体" w:cs="宋体"/>
        </w:rPr>
      </w:pPr>
    </w:p>
    <w:p w14:paraId="56D79CDD">
      <w:pPr>
        <w:jc w:val="center"/>
        <w:rPr>
          <w:rFonts w:ascii="宋体" w:hAnsi="宋体" w:eastAsia="宋体" w:cs="宋体"/>
        </w:rPr>
      </w:pPr>
    </w:p>
    <w:p w14:paraId="5F87AC2F">
      <w:pPr>
        <w:jc w:val="both"/>
        <w:rPr>
          <w:rFonts w:ascii="宋体" w:hAnsi="宋体" w:eastAsia="宋体" w:cs="宋体"/>
        </w:rPr>
      </w:pPr>
    </w:p>
    <w:p w14:paraId="0A6EEBF1">
      <w:pPr>
        <w:jc w:val="both"/>
        <w:rPr>
          <w:rFonts w:ascii="宋体" w:hAnsi="宋体" w:eastAsia="宋体" w:cs="宋体"/>
        </w:rPr>
      </w:pPr>
    </w:p>
    <w:p w14:paraId="72E57152">
      <w:pPr>
        <w:pStyle w:val="2"/>
        <w:numPr>
          <w:numId w:val="0"/>
        </w:numPr>
      </w:pPr>
      <w:r>
        <w:rPr>
          <w:rFonts w:hint="eastAsia"/>
          <w:lang w:val="en-US" w:eastAsia="zh-CN"/>
        </w:rPr>
        <w:t>1</w:t>
      </w:r>
      <w:r>
        <w:rPr>
          <w:rFonts w:hint="eastAsia"/>
        </w:rPr>
        <w:t>系统简介</w:t>
      </w:r>
    </w:p>
    <w:p w14:paraId="6739465B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高校无纸化报销是指</w:t>
      </w:r>
      <w:r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  <w:t>利用信息化手段，实现经费报销流程的数字化和无纸化。这一做法旨在简化报销流程，提高效率，减少纸质文档的使用。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具体来说，无纸化报销包括以下几个方面：</w:t>
      </w:r>
    </w:p>
    <w:p w14:paraId="1B4CFCBC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1、电子凭证的应用</w:t>
      </w:r>
      <w:r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  <w:t>：通过使用电子入账凭证，取代传统的纸质发票和收据，实现会计数据的电子化管理。</w:t>
      </w:r>
    </w:p>
    <w:p w14:paraId="73886C72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2、信息化建设</w:t>
      </w:r>
      <w:r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  <w:t>：加强经费报销的信息化建设，推动经费报销数字化、无纸化，提高财务管理的效率和透明度。</w:t>
      </w:r>
    </w:p>
    <w:p w14:paraId="53B53B70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3、全流程数智化</w:t>
      </w:r>
      <w:r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  <w:t>：计划财务部以财政部电子凭证标准化试点为契机，推进电子凭证接收、解析、报销、入账、归档等全流程的数智化建设。</w:t>
      </w:r>
    </w:p>
    <w:p w14:paraId="6AB6126C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总的来说，无纸化报销不仅有助于提高财务管理的效率，还能在一定程度上减少纸张消耗，符合环保理念。随着技术的不断进步和政策的推动，未来无纸化报销有望在更多高校和机构中得到广泛应用。</w:t>
      </w:r>
    </w:p>
    <w:p w14:paraId="65EDB829">
      <w:pPr>
        <w:widowControl/>
        <w:ind w:firstLine="560" w:firstLineChars="200"/>
        <w:jc w:val="left"/>
        <w:rPr>
          <w:rFonts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该平台包括我的发票、实时报销、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差旅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报销、往来单位查询，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大模块共同构成了一个完整的无纸化报销系统，旨在简化和加速报销流程，减轻老师的报销负担，同时也提高了财务管理的效率和透明度。</w:t>
      </w:r>
    </w:p>
    <w:p w14:paraId="6BBEF18E">
      <w:pPr>
        <w:pStyle w:val="2"/>
        <w:numPr>
          <w:numId w:val="0"/>
        </w:numPr>
      </w:pPr>
      <w:r>
        <w:rPr>
          <w:rFonts w:hint="eastAsia"/>
          <w:lang w:val="en-US" w:eastAsia="zh-CN"/>
        </w:rPr>
        <w:t xml:space="preserve">2 </w:t>
      </w:r>
      <w:r>
        <w:rPr>
          <w:rFonts w:hint="eastAsia"/>
        </w:rPr>
        <w:t>系统功能</w:t>
      </w:r>
    </w:p>
    <w:p w14:paraId="1745CDAC"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2.1登录</w:t>
      </w:r>
    </w:p>
    <w:p w14:paraId="6BF00757">
      <w:pPr>
        <w:widowControl/>
        <w:jc w:val="left"/>
        <w:rPr>
          <w:sz w:val="28"/>
          <w:szCs w:val="28"/>
        </w:rPr>
      </w:pPr>
      <w:r>
        <w:rPr>
          <w:rFonts w:hint="eastAsia" w:ascii="Calibri" w:hAnsi="Calibri" w:eastAsia="宋体" w:cs="Calibri"/>
          <w:color w:val="000000"/>
          <w:kern w:val="0"/>
          <w:sz w:val="28"/>
          <w:szCs w:val="28"/>
          <w:lang w:val="en-US" w:eastAsia="zh-CN" w:bidi="ar"/>
        </w:rPr>
        <w:t>2.1.1</w:t>
      </w:r>
      <w:r>
        <w:rPr>
          <w:rFonts w:hint="eastAsia" w:ascii="Calibri" w:hAnsi="Calibri" w:eastAsia="宋体" w:cs="Calibri"/>
          <w:color w:val="000000"/>
          <w:kern w:val="0"/>
          <w:sz w:val="28"/>
          <w:szCs w:val="28"/>
          <w:lang w:bidi="ar"/>
        </w:rPr>
        <w:t>采用武理微校园统一身份认证，老师输入用户名和密码后即可登录成功。</w:t>
      </w:r>
      <w:r>
        <w:rPr>
          <w:rFonts w:ascii="Calibri" w:hAnsi="Calibri" w:eastAsia="宋体" w:cs="Calibri"/>
          <w:color w:val="000000"/>
          <w:kern w:val="0"/>
          <w:sz w:val="28"/>
          <w:szCs w:val="28"/>
          <w:lang w:bidi="ar"/>
        </w:rPr>
        <w:t xml:space="preserve"> </w:t>
      </w:r>
    </w:p>
    <w:p w14:paraId="725675DC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如下图所示：</w:t>
      </w:r>
    </w:p>
    <w:p w14:paraId="79F4706E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5753100" cy="2608580"/>
            <wp:effectExtent l="0" t="0" r="7620" b="12700"/>
            <wp:docPr id="3" name="图片 3" descr="1710486627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04866274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A2160">
      <w:pPr>
        <w:widowControl/>
        <w:jc w:val="left"/>
      </w:pPr>
      <w:r>
        <w:drawing>
          <wp:inline distT="0" distB="0" distL="0" distR="0">
            <wp:extent cx="5274310" cy="2797175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9531" cy="280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CBE0A">
      <w:pPr>
        <w:widowControl/>
        <w:jc w:val="left"/>
      </w:pPr>
      <w:r>
        <w:drawing>
          <wp:inline distT="0" distB="0" distL="114300" distR="114300">
            <wp:extent cx="5616575" cy="1930400"/>
            <wp:effectExtent l="0" t="0" r="3175" b="1270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85E84">
      <w:pPr>
        <w:pStyle w:val="8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2.1.2无法使用理工大智慧理工的三亚员工，可使用域名访问报销端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u w:val="single"/>
          <w:lang w:val="en-US" w:eastAsia="zh-CN" w:bidi="ar"/>
        </w:rPr>
        <w:t>http://sykjcxybx.whut.edu.cn/login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 ，账号为工号，密码为身份证号后六位。</w:t>
      </w:r>
      <w:r>
        <w:drawing>
          <wp:inline distT="0" distB="0" distL="114300" distR="114300">
            <wp:extent cx="5749925" cy="2924810"/>
            <wp:effectExtent l="0" t="0" r="3175" b="889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B3E64">
      <w:pPr>
        <w:pStyle w:val="8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 w14:paraId="619ECE6E">
      <w:pPr>
        <w:pStyle w:val="8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 w:firstLine="56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2.1.3新员工可联系财务添加人员信息，需提供相关信息如下：姓名、工号、手机号、部门编号、部门名称、银行账号、身份证号。</w:t>
      </w:r>
    </w:p>
    <w:p w14:paraId="632FB2D2">
      <w:pPr>
        <w:pStyle w:val="8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left"/>
      </w:pPr>
      <w:r>
        <w:drawing>
          <wp:inline distT="0" distB="0" distL="114300" distR="114300">
            <wp:extent cx="5754370" cy="2259330"/>
            <wp:effectExtent l="0" t="0" r="17780" b="762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A6E20"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2.2我的发票</w:t>
      </w:r>
    </w:p>
    <w:p w14:paraId="2E5FC49A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点击左侧导航栏“我的发票”进入我的发票页面。主要功能包括上传发票和发票管理。</w:t>
      </w:r>
    </w:p>
    <w:p w14:paraId="2B060EE7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如下图所示：</w:t>
      </w:r>
    </w:p>
    <w:p w14:paraId="22768E49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5680710" cy="2584450"/>
            <wp:effectExtent l="0" t="0" r="15240" b="6350"/>
            <wp:docPr id="4" name="图片 4" descr="171048831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04883135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D3C3E">
      <w:pPr>
        <w:widowControl/>
        <w:jc w:val="left"/>
        <w:outlineLvl w:val="2"/>
        <w:rPr>
          <w:rStyle w:val="15"/>
          <w:sz w:val="28"/>
          <w:szCs w:val="28"/>
        </w:rPr>
      </w:pPr>
      <w:r>
        <w:rPr>
          <w:rStyle w:val="15"/>
          <w:rFonts w:hint="eastAsia" w:ascii="宋体" w:hAnsi="宋体" w:eastAsia="宋体" w:cs="宋体"/>
          <w:sz w:val="28"/>
          <w:szCs w:val="28"/>
        </w:rPr>
        <w:t>2.2.1</w:t>
      </w:r>
      <w:r>
        <w:rPr>
          <w:rStyle w:val="15"/>
          <w:rFonts w:hint="eastAsia"/>
          <w:sz w:val="28"/>
          <w:szCs w:val="28"/>
        </w:rPr>
        <w:t>上传发票</w:t>
      </w:r>
    </w:p>
    <w:p w14:paraId="7D3CF96D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上传电子发票支持两种方式</w:t>
      </w:r>
    </w:p>
    <w:p w14:paraId="2739C1CF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 xml:space="preserve">①上传发票pdf文件  </w:t>
      </w:r>
    </w:p>
    <w:p w14:paraId="6DCCFBBC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②发票短信识别提取（目前只支持中国石油）</w:t>
      </w:r>
    </w:p>
    <w:p w14:paraId="6D43EAA5">
      <w:pPr>
        <w:widowControl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上传后系统会自动识别可报销类型，例如电话费、版面费、燃油费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差旅费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等；后续老师可手动变更可报销类型。</w:t>
      </w:r>
    </w:p>
    <w:p w14:paraId="3C36DAB1">
      <w:pPr>
        <w:widowControl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实时报销 - 可报销发票类型：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电话费、版面费、燃油费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打印邮寄市内交通费、工作餐费、材料费、其他；</w:t>
      </w:r>
    </w:p>
    <w:p w14:paraId="1FCAD840">
      <w:pPr>
        <w:widowControl/>
        <w:ind w:firstLine="560" w:firstLineChars="200"/>
        <w:jc w:val="left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差旅报销 - 可报销发票类型：差旅费（二级报销类型：城市间交通费、市内交通费、住宿费、其他）；</w:t>
      </w:r>
    </w:p>
    <w:p w14:paraId="26B60FC0">
      <w:pPr>
        <w:widowControl/>
        <w:jc w:val="left"/>
      </w:pPr>
      <w:r>
        <w:drawing>
          <wp:inline distT="0" distB="0" distL="114300" distR="114300">
            <wp:extent cx="5742940" cy="2073910"/>
            <wp:effectExtent l="0" t="0" r="10160" b="254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50B73">
      <w:pPr>
        <w:widowControl/>
        <w:jc w:val="left"/>
        <w:rPr>
          <w:rFonts w:hint="eastAsia"/>
        </w:rPr>
      </w:pPr>
    </w:p>
    <w:p w14:paraId="526DA4FE">
      <w:pPr>
        <w:widowControl/>
        <w:jc w:val="left"/>
        <w:rPr>
          <w:rFonts w:hint="eastAsia"/>
        </w:rPr>
      </w:pPr>
    </w:p>
    <w:p w14:paraId="66362B50">
      <w:pPr>
        <w:widowControl/>
        <w:jc w:val="left"/>
        <w:outlineLvl w:val="2"/>
        <w:rPr>
          <w:rStyle w:val="15"/>
          <w:sz w:val="28"/>
          <w:szCs w:val="28"/>
        </w:rPr>
      </w:pPr>
      <w:r>
        <w:rPr>
          <w:rStyle w:val="15"/>
          <w:rFonts w:hint="eastAsia" w:ascii="宋体" w:hAnsi="宋体" w:eastAsia="宋体" w:cs="宋体"/>
          <w:sz w:val="28"/>
          <w:szCs w:val="28"/>
        </w:rPr>
        <w:t>2.2.2</w:t>
      </w:r>
      <w:r>
        <w:rPr>
          <w:rStyle w:val="15"/>
          <w:rFonts w:hint="eastAsia"/>
          <w:sz w:val="28"/>
          <w:szCs w:val="28"/>
        </w:rPr>
        <w:t>发票管理</w:t>
      </w:r>
    </w:p>
    <w:p w14:paraId="472876CD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上发票列表包括“未报销”、“报销中”、“已报销”三种状态的发票，方便老师进行发票查询，其中未报销的发票可以进行删除操作。</w:t>
      </w:r>
    </w:p>
    <w:p w14:paraId="394AA0EF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</w:p>
    <w:p w14:paraId="621A9F6A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</w:p>
    <w:p w14:paraId="7F0CC39E"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2.3实时报销</w:t>
      </w:r>
    </w:p>
    <w:p w14:paraId="27B97997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点击左侧导航栏“实时报销”进入实时报销页面。主要是用于老师进行发票报销和查询报销进程。</w:t>
      </w:r>
    </w:p>
    <w:p w14:paraId="117A4CA2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如下图所示：</w:t>
      </w:r>
    </w:p>
    <w:p w14:paraId="1BDA8DDD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  <w:drawing>
          <wp:inline distT="0" distB="0" distL="0" distR="0">
            <wp:extent cx="5760720" cy="2496820"/>
            <wp:effectExtent l="0" t="0" r="0" b="0"/>
            <wp:docPr id="10900174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17427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14CE">
      <w:pPr>
        <w:widowControl/>
        <w:jc w:val="left"/>
        <w:outlineLvl w:val="2"/>
        <w:rPr>
          <w:rStyle w:val="15"/>
          <w:sz w:val="28"/>
          <w:szCs w:val="28"/>
        </w:rPr>
      </w:pPr>
      <w:r>
        <w:rPr>
          <w:rStyle w:val="15"/>
          <w:rFonts w:hint="eastAsia" w:ascii="宋体" w:hAnsi="宋体" w:eastAsia="宋体" w:cs="宋体"/>
          <w:sz w:val="28"/>
          <w:szCs w:val="28"/>
        </w:rPr>
        <w:t>2.3.1实时报销流程</w:t>
      </w:r>
    </w:p>
    <w:p w14:paraId="3507DB2F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第一步：选择页面上方的报销类型，例如电话费、版面费、燃油费、打印费、工作餐费。</w:t>
      </w:r>
    </w:p>
    <w:p w14:paraId="09706455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  <w:drawing>
          <wp:inline distT="0" distB="0" distL="0" distR="0">
            <wp:extent cx="5760720" cy="2602230"/>
            <wp:effectExtent l="0" t="0" r="0" b="7620"/>
            <wp:docPr id="12827807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780735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5C495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第二步：勾选需要报销的发票（可选择多个发票一起报销），点击下一步</w:t>
      </w:r>
    </w:p>
    <w:p w14:paraId="39134858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5756910" cy="2453005"/>
            <wp:effectExtent l="0" t="0" r="3810" b="635"/>
            <wp:docPr id="7" name="图片 7" descr="1710489540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048954037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086AA">
      <w:pPr>
        <w:widowControl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</w:pPr>
    </w:p>
    <w:p w14:paraId="33CB24FF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第三步：填写报销摘要、勾选报销项目、选择支付方式后点击提交审核</w:t>
      </w:r>
    </w:p>
    <w:p w14:paraId="135719FD">
      <w:pPr>
        <w:widowControl/>
        <w:jc w:val="left"/>
      </w:pPr>
      <w:r>
        <w:drawing>
          <wp:inline distT="0" distB="0" distL="0" distR="0">
            <wp:extent cx="5760720" cy="2728595"/>
            <wp:effectExtent l="0" t="0" r="0" b="0"/>
            <wp:docPr id="13217630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6303" name="图片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CC01A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  <w:drawing>
          <wp:inline distT="0" distB="0" distL="0" distR="0">
            <wp:extent cx="5760720" cy="1449070"/>
            <wp:effectExtent l="0" t="0" r="0" b="0"/>
            <wp:docPr id="6815247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524766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259F9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第四步：项目负责人审核</w:t>
      </w:r>
    </w:p>
    <w:p w14:paraId="46326598">
      <w:pPr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项目负责人可在实时报销中的“经费负责人审核中”列表点击审核后确认报销单无误，点击通过；如需驳回点击驳回按钮并填写驳回原因即可。</w:t>
      </w:r>
    </w:p>
    <w:p w14:paraId="167064A5">
      <w:pPr>
        <w:widowControl/>
        <w:jc w:val="left"/>
      </w:pPr>
      <w:r>
        <w:drawing>
          <wp:inline distT="0" distB="0" distL="0" distR="0">
            <wp:extent cx="5760720" cy="2530475"/>
            <wp:effectExtent l="0" t="0" r="0" b="3175"/>
            <wp:docPr id="16147213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721371" name="图片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1BB0C">
      <w:pPr>
        <w:widowControl/>
        <w:jc w:val="left"/>
      </w:pPr>
      <w:r>
        <w:drawing>
          <wp:inline distT="0" distB="0" distL="0" distR="0">
            <wp:extent cx="5760720" cy="2674620"/>
            <wp:effectExtent l="0" t="0" r="0" b="0"/>
            <wp:docPr id="15939413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941367" name="图片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EEAC8">
      <w:pPr>
        <w:widowControl/>
        <w:jc w:val="left"/>
      </w:pPr>
    </w:p>
    <w:p w14:paraId="0A6DF25B">
      <w:pPr>
        <w:widowControl/>
        <w:jc w:val="left"/>
      </w:pPr>
    </w:p>
    <w:p w14:paraId="455CC5FC">
      <w:pPr>
        <w:widowControl/>
        <w:jc w:val="left"/>
      </w:pPr>
    </w:p>
    <w:p w14:paraId="706D229B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第五步：验收人审核</w:t>
      </w:r>
    </w:p>
    <w:p w14:paraId="4ED43FB4">
      <w:pPr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验收人可在实时报销中的“验收人审核中”列表点击审核后确认报销单无误，点击通过。</w:t>
      </w:r>
    </w:p>
    <w:p w14:paraId="0F7DAB8C">
      <w:pPr>
        <w:widowControl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  <w:drawing>
          <wp:inline distT="0" distB="0" distL="0" distR="0">
            <wp:extent cx="5760720" cy="1886585"/>
            <wp:effectExtent l="0" t="0" r="0" b="0"/>
            <wp:docPr id="63301727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017273" name="图片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8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1A289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第六步：财务审核</w:t>
      </w:r>
    </w:p>
    <w:p w14:paraId="0EC54042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财务审核人员登录财务端进行审核，审核通过后去天财系统中进行制证及后续复核操作。</w:t>
      </w:r>
    </w:p>
    <w:p w14:paraId="46242B94">
      <w:pPr>
        <w:pStyle w:val="8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fldChar w:fldCharType="begin"/>
      </w:r>
      <w:r>
        <w:instrText xml:space="preserve"> HYPERLINK "http://sykjcxybxcw.whut.edu.cn" </w:instrText>
      </w:r>
      <w:r>
        <w:fldChar w:fldCharType="separate"/>
      </w:r>
      <w:r>
        <w:rPr>
          <w:rStyle w:val="12"/>
        </w:rPr>
        <w:t>http://sykjcxybxcw.whut.edu.cn</w:t>
      </w:r>
      <w:r>
        <w:fldChar w:fldCharType="end"/>
      </w:r>
    </w:p>
    <w:p w14:paraId="74A8B237">
      <w:pPr>
        <w:widowControl/>
        <w:jc w:val="left"/>
      </w:pPr>
      <w:r>
        <w:drawing>
          <wp:inline distT="0" distB="0" distL="0" distR="0">
            <wp:extent cx="5760720" cy="2564765"/>
            <wp:effectExtent l="0" t="0" r="0" b="6985"/>
            <wp:docPr id="199817078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170780" name="图片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4F395">
      <w:pPr>
        <w:widowControl/>
        <w:jc w:val="left"/>
      </w:pPr>
    </w:p>
    <w:p w14:paraId="4B6258D7">
      <w:pPr>
        <w:widowControl/>
        <w:jc w:val="left"/>
      </w:pPr>
    </w:p>
    <w:p w14:paraId="1C48917B">
      <w:pPr>
        <w:widowControl/>
        <w:jc w:val="left"/>
        <w:rPr>
          <w:rFonts w:hint="eastAsia"/>
        </w:rPr>
      </w:pPr>
    </w:p>
    <w:p w14:paraId="06C9E5F0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第七步：财务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在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天财系统中进行制证及后续复核后，该笔报销即报销成功，老师可在“报销成功”列表中查看相关信息。</w:t>
      </w:r>
    </w:p>
    <w:p w14:paraId="0A86E8B4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  <w:drawing>
          <wp:inline distT="0" distB="0" distL="0" distR="0">
            <wp:extent cx="5760720" cy="2408555"/>
            <wp:effectExtent l="0" t="0" r="0" b="0"/>
            <wp:docPr id="199797509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75095" name="图片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A03ED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</w:p>
    <w:p w14:paraId="2968D947">
      <w:pPr>
        <w:widowControl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</w:pPr>
    </w:p>
    <w:p w14:paraId="36644C90"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2.4</w:t>
      </w:r>
      <w:r>
        <w:rPr>
          <w:rFonts w:hint="eastAsia" w:ascii="宋体" w:hAnsi="宋体" w:eastAsia="宋体" w:cs="宋体"/>
          <w:lang w:val="en-US" w:eastAsia="zh-CN"/>
        </w:rPr>
        <w:t>差旅</w:t>
      </w:r>
      <w:r>
        <w:rPr>
          <w:rFonts w:hint="eastAsia" w:ascii="宋体" w:hAnsi="宋体" w:eastAsia="宋体" w:cs="宋体"/>
        </w:rPr>
        <w:t>报销</w:t>
      </w:r>
    </w:p>
    <w:p w14:paraId="4C256E4E">
      <w:pPr>
        <w:widowControl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老师城市间出差产生相关费用使用差旅报销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包含：城市间交通费（飞机票、火车票等）、市内交通费（打车、大巴车票等）、住宿费、伙食补助、其他费（保险、会议等），差旅报销必须有城市间交通费发票和出差审批。</w:t>
      </w:r>
    </w:p>
    <w:p w14:paraId="0FA9FFB5">
      <w:pPr>
        <w:widowControl/>
        <w:ind w:firstLine="560" w:firstLineChars="200"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点击左侧导航栏“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差旅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报销”进入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差旅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报销页面。主要是用于老师进行发票报销和查询报销进程。如下图所示：</w:t>
      </w:r>
    </w:p>
    <w:p w14:paraId="6270EE49">
      <w:pPr>
        <w:widowControl/>
        <w:jc w:val="left"/>
      </w:pPr>
      <w:r>
        <w:drawing>
          <wp:inline distT="0" distB="0" distL="114300" distR="114300">
            <wp:extent cx="5760720" cy="2808605"/>
            <wp:effectExtent l="0" t="0" r="11430" b="1079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83C21">
      <w:pPr>
        <w:widowControl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点击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 w:bidi="ar"/>
        </w:rPr>
        <w:t>“</w:t>
      </w:r>
      <w:r>
        <w:rPr>
          <w:rFonts w:ascii="Helvetica" w:hAnsi="Helvetica" w:eastAsia="Helvetica" w:cs="Helvetica"/>
          <w:i w:val="0"/>
          <w:iCs w:val="0"/>
          <w:caps w:val="0"/>
          <w:color w:val="0073DE"/>
          <w:spacing w:val="0"/>
          <w:sz w:val="21"/>
          <w:szCs w:val="21"/>
          <w:u w:val="single"/>
          <w:shd w:val="clear" w:fill="FFFFFF"/>
        </w:rPr>
        <w:t>查看出差审批来崖系统登记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 w:bidi="ar"/>
        </w:rPr>
        <w:t>”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可查看自己在来崖系统中审批通过的出差审批单。</w:t>
      </w:r>
    </w:p>
    <w:p w14:paraId="020CE51B">
      <w:pPr>
        <w:widowControl/>
        <w:jc w:val="left"/>
      </w:pPr>
      <w:r>
        <w:drawing>
          <wp:inline distT="0" distB="0" distL="114300" distR="114300">
            <wp:extent cx="5748655" cy="1938020"/>
            <wp:effectExtent l="0" t="0" r="4445" b="508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9E3EE">
      <w:pPr>
        <w:widowControl/>
        <w:jc w:val="left"/>
      </w:pPr>
    </w:p>
    <w:p w14:paraId="7C0B3C80">
      <w:pPr>
        <w:widowControl/>
        <w:jc w:val="left"/>
        <w:rPr>
          <w:rFonts w:hint="eastAsia"/>
          <w:lang w:val="en-US" w:eastAsia="zh-CN"/>
        </w:rPr>
      </w:pPr>
    </w:p>
    <w:p w14:paraId="439A3C9C">
      <w:pPr>
        <w:widowControl/>
        <w:jc w:val="left"/>
        <w:outlineLvl w:val="2"/>
        <w:rPr>
          <w:rStyle w:val="15"/>
          <w:sz w:val="28"/>
          <w:szCs w:val="28"/>
        </w:rPr>
      </w:pPr>
      <w:r>
        <w:rPr>
          <w:rStyle w:val="15"/>
          <w:rFonts w:hint="eastAsia" w:ascii="宋体" w:hAnsi="宋体" w:eastAsia="宋体" w:cs="宋体"/>
          <w:sz w:val="28"/>
          <w:szCs w:val="28"/>
        </w:rPr>
        <w:t>2.3.1</w:t>
      </w:r>
      <w:r>
        <w:rPr>
          <w:rStyle w:val="15"/>
          <w:rFonts w:hint="eastAsia" w:ascii="宋体" w:hAnsi="宋体" w:eastAsia="宋体" w:cs="宋体"/>
          <w:sz w:val="28"/>
          <w:szCs w:val="28"/>
          <w:lang w:val="en-US" w:eastAsia="zh-CN"/>
        </w:rPr>
        <w:t>差旅</w:t>
      </w:r>
      <w:r>
        <w:rPr>
          <w:rStyle w:val="15"/>
          <w:rFonts w:hint="eastAsia" w:ascii="宋体" w:hAnsi="宋体" w:eastAsia="宋体" w:cs="宋体"/>
          <w:sz w:val="28"/>
          <w:szCs w:val="28"/>
        </w:rPr>
        <w:t>报销流程</w:t>
      </w:r>
    </w:p>
    <w:p w14:paraId="343112A0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第一步：选择页面上方的报销类型，例如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城市间交通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费、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市内交通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费、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住宿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费、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其他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费。</w:t>
      </w:r>
    </w:p>
    <w:p w14:paraId="6F120856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752465" cy="2703195"/>
            <wp:effectExtent l="0" t="0" r="635" b="190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20C39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第二步：勾选需要报销的发票（可选择多个发票一起报销），点击下一步</w:t>
      </w:r>
    </w:p>
    <w:p w14:paraId="20408B9E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755005" cy="2835275"/>
            <wp:effectExtent l="0" t="0" r="17145" b="317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B9609">
      <w:pPr>
        <w:widowControl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</w:pPr>
    </w:p>
    <w:p w14:paraId="7D307FEE">
      <w:pPr>
        <w:widowControl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第三步：填写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差旅报销信息</w:t>
      </w:r>
    </w:p>
    <w:p w14:paraId="2C698F9E">
      <w:pPr>
        <w:widowControl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①基本信息：经办人手机号、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报销摘要、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报销经费（公共经费/科研经费）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 w:bidi="ar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出差人（输入工号添加）、出差审批单（选择出差时间自动匹配检索实际来离崖时间，回显已通过状态来崖审批单信息。若未检索来崖系统中已通过出差审批单信息，需手动填写：出差路线、事由信息）。</w:t>
      </w:r>
    </w:p>
    <w:p w14:paraId="04582946">
      <w:pPr>
        <w:widowControl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 w14:paraId="60A484AE">
      <w:pPr>
        <w:widowControl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②报销发票&amp;补助：城市间交通费、市内交通费、住宿费、其他费、伙食补助；（城市间交通费必须有，其他非必须根据实际情况来）</w:t>
      </w:r>
    </w:p>
    <w:p w14:paraId="14E737CA">
      <w:pPr>
        <w:widowControl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 w14:paraId="1FD47EFB">
      <w:pPr>
        <w:widowControl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③报销项目：选择报销项目、附件（行程单等），若经办人为项目负责人，需填写验收人（工号）</w:t>
      </w:r>
    </w:p>
    <w:p w14:paraId="75A4F318">
      <w:pPr>
        <w:widowControl/>
        <w:jc w:val="left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 w14:paraId="0A2B999D">
      <w:pPr>
        <w:widowControl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④支付方式：对私支付（工资卡/个人账户）、对公支付（对公账户），两种支付方式默认都是收起状态，打开会自动填充相关信息，可手动调整。若点击打开对公/对私支付，自动填充信息后，不使用该支付方式，需删除收起该支付方式；</w:t>
      </w:r>
    </w:p>
    <w:p w14:paraId="553F1998">
      <w:pPr>
        <w:widowControl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</w:p>
    <w:p w14:paraId="4112E86E">
      <w:pPr>
        <w:widowControl/>
        <w:jc w:val="left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支持保存草稿（保存草稿后在未提交列表中重新编辑），中途补充上传选择发票（仅支持补充差旅费类型的发票）。</w:t>
      </w:r>
    </w:p>
    <w:p w14:paraId="54662ACD">
      <w:pPr>
        <w:widowControl/>
        <w:jc w:val="left"/>
      </w:pPr>
      <w:r>
        <w:drawing>
          <wp:inline distT="0" distB="0" distL="114300" distR="114300">
            <wp:extent cx="5730240" cy="2876550"/>
            <wp:effectExtent l="0" t="0" r="3810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rcRect l="13150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0CBF">
      <w:pPr>
        <w:widowControl/>
        <w:jc w:val="left"/>
      </w:pPr>
      <w:r>
        <w:drawing>
          <wp:inline distT="0" distB="0" distL="114300" distR="114300">
            <wp:extent cx="5756910" cy="2101850"/>
            <wp:effectExtent l="0" t="0" r="15240" b="1270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51463">
      <w:pPr>
        <w:widowControl/>
        <w:jc w:val="left"/>
      </w:pPr>
      <w:r>
        <w:drawing>
          <wp:inline distT="0" distB="0" distL="114300" distR="114300">
            <wp:extent cx="5748655" cy="2780665"/>
            <wp:effectExtent l="0" t="0" r="4445" b="635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89D86">
      <w:pPr>
        <w:widowControl/>
        <w:jc w:val="left"/>
        <w:rPr>
          <w:rFonts w:hint="eastAsia"/>
          <w:lang w:val="en-US" w:eastAsia="zh-CN"/>
        </w:rPr>
      </w:pPr>
    </w:p>
    <w:p w14:paraId="4ACBEAA0">
      <w:pPr>
        <w:widowControl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第四步：出差审批中</w:t>
      </w:r>
    </w:p>
    <w:p w14:paraId="0A64984D">
      <w:pPr>
        <w:widowControl/>
        <w:ind w:firstLine="560" w:firstLineChars="200"/>
        <w:jc w:val="left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若提交的差旅报销单中无来崖系统已审核通过的出差审批单，需在无纸化差旅报销系统中进行出差审批。（根据经费来源、经办人情况分配差旅报销系统中的审批人）</w:t>
      </w:r>
    </w:p>
    <w:p w14:paraId="54507F1A">
      <w:pPr>
        <w:widowControl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eastAsia="zh-CN" w:bidi="ar"/>
        </w:rPr>
      </w:pPr>
    </w:p>
    <w:p w14:paraId="604D1679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第四步：项目负责人审核</w:t>
      </w:r>
    </w:p>
    <w:p w14:paraId="058CC071">
      <w:pPr>
        <w:ind w:firstLine="560" w:firstLineChars="200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项目负责人可在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差旅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报销中的“经费负责人审核中”列表点击审核后确认报销单无误，点击通过；如需驳回点击驳回按钮并填写驳回原因即可。</w:t>
      </w:r>
    </w:p>
    <w:p w14:paraId="2080A4DE">
      <w:pPr>
        <w:widowControl/>
        <w:jc w:val="left"/>
      </w:pPr>
      <w:r>
        <w:drawing>
          <wp:inline distT="0" distB="0" distL="114300" distR="114300">
            <wp:extent cx="5760720" cy="2322195"/>
            <wp:effectExtent l="0" t="0" r="11430" b="1905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720D3">
      <w:pPr>
        <w:widowControl/>
        <w:jc w:val="left"/>
      </w:pPr>
    </w:p>
    <w:p w14:paraId="137DA6F3">
      <w:pPr>
        <w:widowControl/>
        <w:jc w:val="left"/>
      </w:pPr>
    </w:p>
    <w:p w14:paraId="3BB7C6DF">
      <w:pPr>
        <w:widowControl/>
        <w:jc w:val="left"/>
      </w:pPr>
    </w:p>
    <w:p w14:paraId="36143FFD">
      <w:pPr>
        <w:widowControl/>
        <w:jc w:val="left"/>
      </w:pPr>
    </w:p>
    <w:p w14:paraId="5227D849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第五步：验收人审核</w:t>
      </w:r>
    </w:p>
    <w:p w14:paraId="1AE9D6BB">
      <w:pPr>
        <w:ind w:firstLine="560" w:firstLineChars="200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若经办人为报销项目的项目负责人，则需要走验收人审核流程。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验收人可在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差旅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报销中的“验收人审核中”列表点击审核后确认报销单无误，点击通过。</w:t>
      </w:r>
    </w:p>
    <w:p w14:paraId="39CAE8DF">
      <w:pPr>
        <w:widowControl/>
        <w:jc w:val="left"/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760720" cy="2252980"/>
            <wp:effectExtent l="0" t="0" r="11430" b="1397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B850E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第六步：财务审核</w:t>
      </w:r>
    </w:p>
    <w:p w14:paraId="62262C4E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财务审核人员登录财务端进行审核，审核通过后去天财系统中进行制证及后续复核操作。</w:t>
      </w:r>
    </w:p>
    <w:p w14:paraId="6BEC27B8">
      <w:pPr>
        <w:pStyle w:val="8"/>
        <w:keepNext w:val="0"/>
        <w:keepLines w:val="0"/>
        <w:widowControl/>
        <w:suppressLineNumbers w:val="0"/>
        <w:spacing w:before="0" w:beforeAutospacing="0" w:after="0" w:afterAutospacing="0" w:line="408" w:lineRule="auto"/>
        <w:ind w:left="0" w:right="0"/>
        <w:jc w:val="left"/>
      </w:pPr>
      <w:r>
        <w:fldChar w:fldCharType="begin"/>
      </w:r>
      <w:r>
        <w:instrText xml:space="preserve"> HYPERLINK "http://sykjcxybxcw.whut.edu.cn" </w:instrText>
      </w:r>
      <w:r>
        <w:fldChar w:fldCharType="separate"/>
      </w:r>
      <w:r>
        <w:rPr>
          <w:rStyle w:val="12"/>
        </w:rPr>
        <w:t>http://sykjcxybxcw.whut.edu.cn</w:t>
      </w:r>
      <w:r>
        <w:fldChar w:fldCharType="end"/>
      </w:r>
    </w:p>
    <w:p w14:paraId="38845C9C">
      <w:pPr>
        <w:widowControl/>
        <w:jc w:val="left"/>
      </w:pPr>
      <w:r>
        <w:drawing>
          <wp:inline distT="0" distB="0" distL="114300" distR="114300">
            <wp:extent cx="5760720" cy="2169160"/>
            <wp:effectExtent l="0" t="0" r="11430" b="254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CD460">
      <w:pPr>
        <w:widowControl/>
        <w:jc w:val="left"/>
      </w:pPr>
    </w:p>
    <w:p w14:paraId="4C293E41">
      <w:pPr>
        <w:widowControl/>
        <w:jc w:val="left"/>
        <w:rPr>
          <w:rFonts w:hint="eastAsia"/>
        </w:rPr>
      </w:pPr>
    </w:p>
    <w:p w14:paraId="43C9BD0E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第七步：财务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在</w:t>
      </w: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天财系统中进行制证及后续复核后，该笔报销即报销成功，老师可在“报销成功”列表中查看相关信息。</w:t>
      </w:r>
    </w:p>
    <w:p w14:paraId="76196E88">
      <w:r>
        <w:drawing>
          <wp:inline distT="0" distB="0" distL="114300" distR="114300">
            <wp:extent cx="5760720" cy="2352040"/>
            <wp:effectExtent l="0" t="0" r="11430" b="1016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9F1E3"/>
    <w:p w14:paraId="00C1471E"/>
    <w:p w14:paraId="11D1FF7A">
      <w:pPr>
        <w:pStyle w:val="3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2.5往来单位查询</w:t>
      </w:r>
    </w:p>
    <w:p w14:paraId="404299ED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点击左侧导航栏“往来单位查询”进入往来单位查询页面。主要是查询企业单位的工商信息即风险信息能及时规避项目风险。</w:t>
      </w:r>
    </w:p>
    <w:p w14:paraId="5617FDB0">
      <w:pPr>
        <w:widowControl/>
        <w:ind w:firstLine="560" w:firstLineChars="200"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bidi="ar"/>
        </w:rPr>
        <w:t>输入企业名称，点击搜索即可。</w:t>
      </w:r>
    </w:p>
    <w:p w14:paraId="716C3056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  <w:r>
        <w:rPr>
          <w:rFonts w:ascii="宋体" w:hAnsi="宋体" w:eastAsia="宋体" w:cs="宋体"/>
          <w:color w:val="000000"/>
          <w:kern w:val="0"/>
          <w:sz w:val="28"/>
          <w:szCs w:val="28"/>
        </w:rPr>
        <w:drawing>
          <wp:inline distT="0" distB="0" distL="114300" distR="114300">
            <wp:extent cx="5748020" cy="1688465"/>
            <wp:effectExtent l="0" t="0" r="0" b="0"/>
            <wp:docPr id="23" name="图片 23" descr="1710493793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10493793994"/>
                    <pic:cNvPicPr>
                      <a:picLocks noChangeAspect="1"/>
                    </pic:cNvPicPr>
                  </pic:nvPicPr>
                  <pic:blipFill>
                    <a:blip r:embed="rId33"/>
                    <a:srcRect b="18461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7468E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</w:p>
    <w:p w14:paraId="73B3BEC3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</w:p>
    <w:p w14:paraId="2909009B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</w:p>
    <w:p w14:paraId="36000601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</w:p>
    <w:p w14:paraId="09892179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</w:p>
    <w:p w14:paraId="730CD9C2">
      <w:pPr>
        <w:widowControl/>
        <w:jc w:val="left"/>
        <w:rPr>
          <w:rFonts w:ascii="宋体" w:hAnsi="宋体" w:eastAsia="宋体" w:cs="宋体"/>
          <w:color w:val="000000"/>
          <w:kern w:val="0"/>
          <w:sz w:val="28"/>
          <w:szCs w:val="28"/>
          <w:lang w:bidi="ar"/>
        </w:rPr>
      </w:pPr>
    </w:p>
    <w:p w14:paraId="2CD3F9D2">
      <w:pPr>
        <w:pStyle w:val="3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附件1：差旅报销中标准发票示例</w:t>
      </w:r>
    </w:p>
    <w:p w14:paraId="4A1E6A7E">
      <w:pPr>
        <w:widowControl/>
        <w:jc w:val="left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 xml:space="preserve">    三亚无纸化差旅报销平台仅支持电子发票报销，纸质发票无法使用平台进行报销，需走线下报销渠道。</w:t>
      </w:r>
    </w:p>
    <w:p w14:paraId="5074B9CB">
      <w:pPr>
        <w:widowControl/>
        <w:jc w:val="left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一、城市间交通费 - 飞机电子发票</w:t>
      </w:r>
    </w:p>
    <w:p w14:paraId="68894432">
      <w:pPr>
        <w:widowControl/>
        <w:jc w:val="left"/>
      </w:pPr>
      <w:r>
        <w:drawing>
          <wp:inline distT="0" distB="0" distL="114300" distR="114300">
            <wp:extent cx="5752465" cy="3246755"/>
            <wp:effectExtent l="0" t="0" r="635" b="1079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AA333">
      <w:pPr>
        <w:widowControl/>
        <w:jc w:val="left"/>
      </w:pPr>
      <w:r>
        <w:drawing>
          <wp:inline distT="0" distB="0" distL="114300" distR="114300">
            <wp:extent cx="5604510" cy="3632200"/>
            <wp:effectExtent l="0" t="0" r="15240" b="63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0451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54708">
      <w:pPr>
        <w:widowControl/>
        <w:jc w:val="left"/>
      </w:pPr>
    </w:p>
    <w:p w14:paraId="41D0070B">
      <w:pPr>
        <w:widowControl/>
        <w:jc w:val="left"/>
      </w:pPr>
    </w:p>
    <w:p w14:paraId="09CAD2FB">
      <w:pPr>
        <w:widowControl/>
        <w:jc w:val="left"/>
      </w:pPr>
    </w:p>
    <w:p w14:paraId="156F4BFF">
      <w:pPr>
        <w:widowControl/>
        <w:jc w:val="left"/>
      </w:pPr>
    </w:p>
    <w:p w14:paraId="31224D60">
      <w:pPr>
        <w:widowControl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二、城市间交通费 - 火车电子发票</w:t>
      </w:r>
    </w:p>
    <w:p w14:paraId="46C91BB6">
      <w:pPr>
        <w:widowControl/>
        <w:jc w:val="left"/>
      </w:pPr>
      <w:r>
        <w:drawing>
          <wp:inline distT="0" distB="0" distL="114300" distR="114300">
            <wp:extent cx="5760085" cy="3778885"/>
            <wp:effectExtent l="0" t="0" r="12065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295F5">
      <w:pPr>
        <w:widowControl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三、市内交通费 - 打车电子发票</w:t>
      </w:r>
    </w:p>
    <w:p w14:paraId="5BF12B28">
      <w:pPr>
        <w:widowControl/>
        <w:jc w:val="left"/>
      </w:pPr>
      <w:r>
        <w:drawing>
          <wp:inline distT="0" distB="0" distL="114300" distR="114300">
            <wp:extent cx="5753735" cy="3952240"/>
            <wp:effectExtent l="0" t="0" r="18415" b="1016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D3611">
      <w:pPr>
        <w:widowControl/>
        <w:jc w:val="left"/>
      </w:pPr>
    </w:p>
    <w:p w14:paraId="7113E2EC">
      <w:pPr>
        <w:widowControl/>
        <w:jc w:val="left"/>
      </w:pPr>
    </w:p>
    <w:p w14:paraId="014C2154">
      <w:pPr>
        <w:widowControl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四、住宿费 - 电子发票</w:t>
      </w:r>
    </w:p>
    <w:p w14:paraId="6C877924">
      <w:pPr>
        <w:widowControl/>
        <w:jc w:val="left"/>
      </w:pPr>
      <w:r>
        <w:drawing>
          <wp:inline distT="0" distB="0" distL="114300" distR="114300">
            <wp:extent cx="5758180" cy="3810000"/>
            <wp:effectExtent l="0" t="0" r="1397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E86FF">
      <w:pPr>
        <w:widowControl/>
        <w:jc w:val="left"/>
      </w:pPr>
    </w:p>
    <w:p w14:paraId="4A2EF367">
      <w:pPr>
        <w:widowControl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五、其他费 - 保险费等电子发票</w:t>
      </w:r>
    </w:p>
    <w:p w14:paraId="0BC94883">
      <w:pPr>
        <w:widowControl/>
        <w:jc w:val="left"/>
      </w:pPr>
      <w:r>
        <w:drawing>
          <wp:inline distT="0" distB="0" distL="114300" distR="114300">
            <wp:extent cx="5758815" cy="3841115"/>
            <wp:effectExtent l="0" t="0" r="13335" b="698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DA387">
      <w:pPr>
        <w:widowControl/>
        <w:jc w:val="left"/>
      </w:pPr>
    </w:p>
    <w:p w14:paraId="1D36FCBD">
      <w:pPr>
        <w:pStyle w:val="3"/>
        <w:rPr>
          <w:rFonts w:hint="default" w:ascii="宋体" w:hAnsi="宋体" w:eastAsia="宋体" w:cs="宋体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lang w:val="en-US" w:eastAsia="zh-CN"/>
        </w:rPr>
        <w:t>附件2：上传发票常见报错说明</w:t>
      </w:r>
    </w:p>
    <w:p w14:paraId="589CC0D2">
      <w:pPr>
        <w:widowControl/>
        <w:numPr>
          <w:ilvl w:val="0"/>
          <w:numId w:val="1"/>
        </w:numPr>
        <w:jc w:val="left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发票验真：购买方名称不一致</w:t>
      </w:r>
    </w:p>
    <w:p w14:paraId="008F6C5D">
      <w:pPr>
        <w:widowControl/>
        <w:numPr>
          <w:ilvl w:val="0"/>
          <w:numId w:val="0"/>
        </w:numPr>
        <w:ind w:firstLine="560" w:firstLineChars="200"/>
        <w:jc w:val="left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电子发票购买方名称需是：“武汉理工大学三亚科教创新园”，否则上传发票提示：“发票验真：购买方名称不一致”。</w:t>
      </w:r>
    </w:p>
    <w:p w14:paraId="341BEEE9">
      <w:pPr>
        <w:widowControl/>
        <w:numPr>
          <w:ilvl w:val="0"/>
          <w:numId w:val="0"/>
        </w:numPr>
        <w:jc w:val="left"/>
      </w:pPr>
    </w:p>
    <w:p w14:paraId="00F9725E">
      <w:pPr>
        <w:widowControl/>
        <w:numPr>
          <w:ilvl w:val="0"/>
          <w:numId w:val="0"/>
        </w:numPr>
        <w:jc w:val="left"/>
      </w:pPr>
      <w:r>
        <w:drawing>
          <wp:inline distT="0" distB="0" distL="114300" distR="114300">
            <wp:extent cx="3448685" cy="512445"/>
            <wp:effectExtent l="0" t="0" r="18415" b="190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4868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3C722">
      <w:pPr>
        <w:widowControl/>
        <w:numPr>
          <w:ilvl w:val="0"/>
          <w:numId w:val="0"/>
        </w:numPr>
        <w:jc w:val="left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drawing>
          <wp:inline distT="0" distB="0" distL="114300" distR="114300">
            <wp:extent cx="4979035" cy="1673225"/>
            <wp:effectExtent l="0" t="0" r="12065" b="317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1A9AF">
      <w:pPr>
        <w:widowControl/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</w:p>
    <w:p w14:paraId="07409F0A">
      <w:pPr>
        <w:widowControl/>
        <w:numPr>
          <w:ilvl w:val="0"/>
          <w:numId w:val="1"/>
        </w:numPr>
        <w:jc w:val="left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已在网报系统校验制单</w:t>
      </w:r>
    </w:p>
    <w:p w14:paraId="049DB5E6">
      <w:pPr>
        <w:widowControl/>
        <w:numPr>
          <w:ilvl w:val="0"/>
          <w:numId w:val="0"/>
        </w:numPr>
        <w:ind w:firstLine="560" w:firstLineChars="200"/>
        <w:jc w:val="left"/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此电子发票已经被使用报销过，在天财网报系统存在，无法在使用报销。（在其他渠道或被其他老师使用报销过）</w:t>
      </w:r>
    </w:p>
    <w:p w14:paraId="6045A747">
      <w:pPr>
        <w:widowControl/>
        <w:numPr>
          <w:ilvl w:val="0"/>
          <w:numId w:val="0"/>
        </w:numPr>
        <w:jc w:val="left"/>
      </w:pPr>
      <w:r>
        <w:drawing>
          <wp:inline distT="0" distB="0" distL="114300" distR="114300">
            <wp:extent cx="3573780" cy="530225"/>
            <wp:effectExtent l="0" t="0" r="7620" b="317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73780" cy="53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859BF">
      <w:pPr>
        <w:widowControl/>
        <w:numPr>
          <w:ilvl w:val="0"/>
          <w:numId w:val="0"/>
        </w:numPr>
        <w:jc w:val="left"/>
      </w:pPr>
    </w:p>
    <w:p w14:paraId="092C6C85">
      <w:pPr>
        <w:widowControl/>
        <w:numPr>
          <w:ilvl w:val="0"/>
          <w:numId w:val="1"/>
        </w:numPr>
        <w:jc w:val="left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发票号码已存在</w:t>
      </w:r>
    </w:p>
    <w:p w14:paraId="27613E47">
      <w:pPr>
        <w:widowControl/>
        <w:numPr>
          <w:ilvl w:val="0"/>
          <w:numId w:val="0"/>
        </w:numPr>
        <w:ind w:firstLine="560" w:firstLineChars="200"/>
        <w:jc w:val="left"/>
        <w:rPr>
          <w:rFonts w:hint="default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8"/>
          <w:szCs w:val="28"/>
          <w:lang w:val="en-US" w:eastAsia="zh-CN" w:bidi="ar"/>
        </w:rPr>
        <w:t>此电子发票已上传，在“我的发票”中，可切换状态（未报销、报销中、已报销）搜索查找。</w:t>
      </w:r>
    </w:p>
    <w:p w14:paraId="1EC34FE4">
      <w:pPr>
        <w:widowControl/>
        <w:numPr>
          <w:ilvl w:val="0"/>
          <w:numId w:val="0"/>
        </w:numPr>
        <w:jc w:val="left"/>
      </w:pPr>
      <w:r>
        <w:drawing>
          <wp:inline distT="0" distB="0" distL="114300" distR="114300">
            <wp:extent cx="3500755" cy="493395"/>
            <wp:effectExtent l="0" t="0" r="4445" b="190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733DD">
      <w:pPr>
        <w:widowControl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3256280" cy="966470"/>
            <wp:effectExtent l="0" t="0" r="1270" b="508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020" w:right="1417" w:bottom="1020" w:left="141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08ACFA">
    <w:pPr>
      <w:pStyle w:val="7"/>
      <w:pBdr>
        <w:bottom w:val="single" w:color="C0C0C0" w:sz="4" w:space="1"/>
      </w:pBdr>
      <w:jc w:val="center"/>
      <w:rPr>
        <w:sz w:val="21"/>
        <w:szCs w:val="21"/>
      </w:rPr>
    </w:pPr>
    <w:r>
      <w:rPr>
        <w:rFonts w:hint="eastAsia"/>
        <w:sz w:val="21"/>
        <w:szCs w:val="21"/>
        <w:lang w:val="en-US" w:eastAsia="zh-CN"/>
      </w:rPr>
      <w:t>三亚</w:t>
    </w:r>
    <w:r>
      <w:rPr>
        <w:rFonts w:hint="eastAsia"/>
        <w:sz w:val="21"/>
        <w:szCs w:val="21"/>
      </w:rPr>
      <w:t>无纸化</w:t>
    </w:r>
    <w:r>
      <w:rPr>
        <w:rFonts w:hint="eastAsia"/>
        <w:sz w:val="21"/>
        <w:szCs w:val="21"/>
        <w:lang w:val="en-US" w:eastAsia="zh-CN"/>
      </w:rPr>
      <w:t>差旅</w:t>
    </w:r>
    <w:r>
      <w:rPr>
        <w:rFonts w:hint="eastAsia"/>
        <w:sz w:val="21"/>
        <w:szCs w:val="21"/>
      </w:rPr>
      <w:t>报销</w:t>
    </w:r>
    <w:r>
      <w:rPr>
        <w:rFonts w:hint="eastAsia"/>
        <w:sz w:val="21"/>
        <w:szCs w:val="21"/>
        <w:lang w:val="en-US" w:eastAsia="zh-CN"/>
      </w:rPr>
      <w:t>平台</w:t>
    </w:r>
    <w:r>
      <w:rPr>
        <w:rFonts w:hint="eastAsia"/>
        <w:sz w:val="21"/>
        <w:szCs w:val="21"/>
      </w:rPr>
      <w:t xml:space="preserve"> </w:t>
    </w:r>
    <w:r>
      <w:rPr>
        <w:sz w:val="21"/>
        <w:szCs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296FD1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B296FD1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 w:val="21"/>
        <w:szCs w:val="21"/>
      </w:rPr>
      <w:t>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B3D2AF"/>
    <w:multiLevelType w:val="singleLevel"/>
    <w:tmpl w:val="38B3D2A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VlY2I0MGE2ZmUyNDEzZWM4NjRlZGYxNGFmNmNhMGIifQ=="/>
  </w:docVars>
  <w:rsids>
    <w:rsidRoot w:val="148F0033"/>
    <w:rsid w:val="00021AEF"/>
    <w:rsid w:val="00162DF1"/>
    <w:rsid w:val="00226503"/>
    <w:rsid w:val="002F435A"/>
    <w:rsid w:val="00330AA5"/>
    <w:rsid w:val="00496DA9"/>
    <w:rsid w:val="007A6F63"/>
    <w:rsid w:val="00906EF9"/>
    <w:rsid w:val="00C73392"/>
    <w:rsid w:val="00EF578A"/>
    <w:rsid w:val="02A36C44"/>
    <w:rsid w:val="039C7AFE"/>
    <w:rsid w:val="069B7C33"/>
    <w:rsid w:val="09F970F3"/>
    <w:rsid w:val="0A0F696E"/>
    <w:rsid w:val="0A2E0C9A"/>
    <w:rsid w:val="0BA23811"/>
    <w:rsid w:val="0CF32576"/>
    <w:rsid w:val="0E837ECC"/>
    <w:rsid w:val="0ED463D8"/>
    <w:rsid w:val="0F470958"/>
    <w:rsid w:val="10496286"/>
    <w:rsid w:val="12DD1CFF"/>
    <w:rsid w:val="13CE33F5"/>
    <w:rsid w:val="148F0033"/>
    <w:rsid w:val="168C770D"/>
    <w:rsid w:val="16E97AC1"/>
    <w:rsid w:val="174A5489"/>
    <w:rsid w:val="189F1804"/>
    <w:rsid w:val="1BC41F6B"/>
    <w:rsid w:val="1C295FB5"/>
    <w:rsid w:val="1C6773D8"/>
    <w:rsid w:val="1E004363"/>
    <w:rsid w:val="1E075E82"/>
    <w:rsid w:val="1E4A5D6E"/>
    <w:rsid w:val="1E65704C"/>
    <w:rsid w:val="1E9D0594"/>
    <w:rsid w:val="1E9E60BA"/>
    <w:rsid w:val="1ECE2E43"/>
    <w:rsid w:val="21875DF4"/>
    <w:rsid w:val="21DC5877"/>
    <w:rsid w:val="22F80095"/>
    <w:rsid w:val="2378337E"/>
    <w:rsid w:val="2389558B"/>
    <w:rsid w:val="24015121"/>
    <w:rsid w:val="244B45EE"/>
    <w:rsid w:val="256911D0"/>
    <w:rsid w:val="26963039"/>
    <w:rsid w:val="28577A06"/>
    <w:rsid w:val="29AA0009"/>
    <w:rsid w:val="2A5D609B"/>
    <w:rsid w:val="2AC1560A"/>
    <w:rsid w:val="2B411285"/>
    <w:rsid w:val="2BA271EA"/>
    <w:rsid w:val="2C547DC9"/>
    <w:rsid w:val="2CC118F2"/>
    <w:rsid w:val="2DE51610"/>
    <w:rsid w:val="2E3B7FD2"/>
    <w:rsid w:val="2E4707B2"/>
    <w:rsid w:val="2E933762"/>
    <w:rsid w:val="305B3E0B"/>
    <w:rsid w:val="30724DD6"/>
    <w:rsid w:val="31CF4AB1"/>
    <w:rsid w:val="331F55C4"/>
    <w:rsid w:val="33AA0806"/>
    <w:rsid w:val="36EC1C61"/>
    <w:rsid w:val="372B09DB"/>
    <w:rsid w:val="37BE184F"/>
    <w:rsid w:val="38E47094"/>
    <w:rsid w:val="3AD43138"/>
    <w:rsid w:val="3BB16FD5"/>
    <w:rsid w:val="3BF07AFD"/>
    <w:rsid w:val="3D485717"/>
    <w:rsid w:val="3D4D2D2E"/>
    <w:rsid w:val="3D7B726E"/>
    <w:rsid w:val="3DA6700D"/>
    <w:rsid w:val="3EAB2402"/>
    <w:rsid w:val="3EB72B54"/>
    <w:rsid w:val="3F841F4D"/>
    <w:rsid w:val="404B3E9C"/>
    <w:rsid w:val="41586871"/>
    <w:rsid w:val="42DE0FF8"/>
    <w:rsid w:val="448E25A9"/>
    <w:rsid w:val="44B6565C"/>
    <w:rsid w:val="453F3E81"/>
    <w:rsid w:val="45505AB1"/>
    <w:rsid w:val="457D3000"/>
    <w:rsid w:val="45C344D5"/>
    <w:rsid w:val="46445615"/>
    <w:rsid w:val="4718211C"/>
    <w:rsid w:val="48147269"/>
    <w:rsid w:val="481D523D"/>
    <w:rsid w:val="48B40105"/>
    <w:rsid w:val="498E17F3"/>
    <w:rsid w:val="4B4439C2"/>
    <w:rsid w:val="4CB44B77"/>
    <w:rsid w:val="4D8E0105"/>
    <w:rsid w:val="4DEC71D4"/>
    <w:rsid w:val="4E5B79A0"/>
    <w:rsid w:val="4E796078"/>
    <w:rsid w:val="510065DD"/>
    <w:rsid w:val="525C5A95"/>
    <w:rsid w:val="52CC7A6B"/>
    <w:rsid w:val="53311748"/>
    <w:rsid w:val="543C3DD0"/>
    <w:rsid w:val="547D4C84"/>
    <w:rsid w:val="54985D5B"/>
    <w:rsid w:val="553F4386"/>
    <w:rsid w:val="56F35AA1"/>
    <w:rsid w:val="583F79EB"/>
    <w:rsid w:val="589E6E07"/>
    <w:rsid w:val="58BE43CE"/>
    <w:rsid w:val="58D1792B"/>
    <w:rsid w:val="5991283D"/>
    <w:rsid w:val="59BD150F"/>
    <w:rsid w:val="5A0507C0"/>
    <w:rsid w:val="5CDB057C"/>
    <w:rsid w:val="5D170F36"/>
    <w:rsid w:val="5D423DFA"/>
    <w:rsid w:val="5DDC74C9"/>
    <w:rsid w:val="5E875C48"/>
    <w:rsid w:val="5EFA466C"/>
    <w:rsid w:val="5F381638"/>
    <w:rsid w:val="5FD0361E"/>
    <w:rsid w:val="608E3692"/>
    <w:rsid w:val="613D1187"/>
    <w:rsid w:val="61D65CAE"/>
    <w:rsid w:val="624A76B8"/>
    <w:rsid w:val="62FF495A"/>
    <w:rsid w:val="64FB2EEB"/>
    <w:rsid w:val="659550EE"/>
    <w:rsid w:val="65DD0843"/>
    <w:rsid w:val="68F20AA9"/>
    <w:rsid w:val="6A6257BB"/>
    <w:rsid w:val="6A647785"/>
    <w:rsid w:val="6B264A3A"/>
    <w:rsid w:val="6BE43587"/>
    <w:rsid w:val="6CDE381E"/>
    <w:rsid w:val="6E0714FB"/>
    <w:rsid w:val="6E865F1C"/>
    <w:rsid w:val="6EFC1D3A"/>
    <w:rsid w:val="706A19EA"/>
    <w:rsid w:val="71094BE2"/>
    <w:rsid w:val="718A5D23"/>
    <w:rsid w:val="71D41792"/>
    <w:rsid w:val="723B526F"/>
    <w:rsid w:val="72BD5C84"/>
    <w:rsid w:val="74073298"/>
    <w:rsid w:val="746D7236"/>
    <w:rsid w:val="75792336"/>
    <w:rsid w:val="75FA2D4B"/>
    <w:rsid w:val="764E3F45"/>
    <w:rsid w:val="766861A5"/>
    <w:rsid w:val="77470212"/>
    <w:rsid w:val="778154D2"/>
    <w:rsid w:val="77A613DD"/>
    <w:rsid w:val="79C50C8F"/>
    <w:rsid w:val="7A094544"/>
    <w:rsid w:val="7A7430CC"/>
    <w:rsid w:val="7AEC5358"/>
    <w:rsid w:val="7D311748"/>
    <w:rsid w:val="7DE83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3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5"/>
    <w:semiHidden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link w:val="14"/>
    <w:semiHidden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1">
    <w:name w:val="Strong"/>
    <w:basedOn w:val="10"/>
    <w:autoRedefine/>
    <w:qFormat/>
    <w:uiPriority w:val="0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customStyle="1" w:styleId="13">
    <w:name w:val="标题 2 字符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14">
    <w:name w:val="标题 4 字符"/>
    <w:link w:val="5"/>
    <w:autoRedefine/>
    <w:qFormat/>
    <w:uiPriority w:val="0"/>
    <w:rPr>
      <w:rFonts w:ascii="Arial" w:hAnsi="Arial" w:eastAsia="黑体"/>
      <w:b/>
      <w:sz w:val="28"/>
    </w:rPr>
  </w:style>
  <w:style w:type="character" w:customStyle="1" w:styleId="15">
    <w:name w:val="标题 3 字符"/>
    <w:link w:val="4"/>
    <w:autoRedefine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21</Pages>
  <Words>2663</Words>
  <Characters>2797</Characters>
  <Lines>13</Lines>
  <Paragraphs>3</Paragraphs>
  <TotalTime>32</TotalTime>
  <ScaleCrop>false</ScaleCrop>
  <LinksUpToDate>false</LinksUpToDate>
  <CharactersWithSpaces>2831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2023-03-07T08:51:00Z</dcterms:created>
  <dc:creator>幻想成为薯片的饭团 </dc:creator>
  <cp:lastModifiedBy>lih</cp:lastModifiedBy>
  <dcterms:modified xsi:type="dcterms:W3CDTF">2025-04-02T06:51:55Z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EA705A0A1C1A476598ADA1A375935973_13</vt:lpwstr>
  </property>
  <property fmtid="{D5CDD505-2E9C-101B-9397-08002B2CF9AE}" pid="4" name="KSOTemplateDocerSaveRecord">
    <vt:lpwstr>eyJoZGlkIjoiZmU0ZGVlODY2MWU5MjhiZWY0OTZkNWViYTA3YWUwOTciLCJ1c2VySWQiOiI0NzM0MjcwOTAifQ==</vt:lpwstr>
  </property>
</Properties>
</file>